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5E4" w:rsidRPr="00CC2814" w:rsidRDefault="00E15F6D" w:rsidP="00E15F6D">
      <w:pPr>
        <w:spacing w:before="200" w:after="360" w:line="560" w:lineRule="exact"/>
        <w:jc w:val="center"/>
        <w:rPr>
          <w:rFonts w:ascii="黑体" w:eastAsia="黑体" w:hAnsi="黑体" w:cs="宋体"/>
          <w:sz w:val="20"/>
          <w:szCs w:val="18"/>
        </w:rPr>
      </w:pPr>
      <w:r w:rsidRPr="00CC2814">
        <w:rPr>
          <w:rFonts w:ascii="黑体" w:eastAsia="黑体" w:hAnsi="黑体" w:cs="宋体"/>
          <w:sz w:val="20"/>
          <w:szCs w:val="18"/>
        </w:rPr>
        <w:t xml:space="preserve">证券代码：002042         </w:t>
      </w:r>
      <w:r w:rsidRPr="00CC2814">
        <w:rPr>
          <w:rFonts w:ascii="黑体" w:eastAsia="黑体" w:hAnsi="黑体" w:cs="宋体" w:hint="eastAsia"/>
          <w:sz w:val="20"/>
          <w:szCs w:val="18"/>
        </w:rPr>
        <w:t xml:space="preserve">       </w:t>
      </w:r>
      <w:r w:rsidRPr="00CC2814">
        <w:rPr>
          <w:rFonts w:ascii="黑体" w:eastAsia="黑体" w:hAnsi="黑体" w:cs="宋体"/>
          <w:sz w:val="20"/>
          <w:szCs w:val="18"/>
        </w:rPr>
        <w:t xml:space="preserve">   证券简称：华孚时尚             </w:t>
      </w:r>
      <w:r w:rsidRPr="00CC2814">
        <w:rPr>
          <w:rFonts w:ascii="黑体" w:eastAsia="黑体" w:hAnsi="黑体" w:cs="宋体" w:hint="eastAsia"/>
          <w:sz w:val="20"/>
          <w:szCs w:val="18"/>
        </w:rPr>
        <w:t xml:space="preserve">        </w:t>
      </w:r>
      <w:r w:rsidR="00CC2814">
        <w:rPr>
          <w:rFonts w:ascii="黑体" w:eastAsia="黑体" w:hAnsi="黑体" w:cs="宋体"/>
          <w:sz w:val="20"/>
          <w:szCs w:val="18"/>
        </w:rPr>
        <w:t xml:space="preserve"> </w:t>
      </w:r>
      <w:r w:rsidRPr="00CC2814">
        <w:rPr>
          <w:rFonts w:ascii="黑体" w:eastAsia="黑体" w:hAnsi="黑体" w:cs="宋体"/>
          <w:sz w:val="20"/>
          <w:szCs w:val="18"/>
        </w:rPr>
        <w:t>公告编号：</w:t>
      </w:r>
      <w:r w:rsidRPr="00CC2814">
        <w:rPr>
          <w:rFonts w:ascii="黑体" w:eastAsia="黑体" w:hAnsi="黑体" w:cs="宋体" w:hint="eastAsia"/>
          <w:sz w:val="20"/>
          <w:szCs w:val="18"/>
        </w:rPr>
        <w:t>2022-60</w:t>
      </w:r>
    </w:p>
    <w:p w:rsidR="00A965E4" w:rsidRDefault="00E15F6D" w:rsidP="00CC2814">
      <w:pPr>
        <w:spacing w:before="600" w:after="360" w:line="400" w:lineRule="exact"/>
        <w:jc w:val="center"/>
        <w:rPr>
          <w:rFonts w:ascii="宋体" w:eastAsia="宋体" w:hAnsi="宋体" w:cs="宋体"/>
          <w:b/>
          <w:bCs/>
          <w:sz w:val="32"/>
          <w:szCs w:val="32"/>
        </w:rPr>
      </w:pPr>
      <w:r>
        <w:rPr>
          <w:rFonts w:ascii="宋体" w:eastAsia="宋体" w:hAnsi="宋体" w:cs="宋体"/>
          <w:b/>
          <w:bCs/>
          <w:sz w:val="32"/>
          <w:szCs w:val="32"/>
        </w:rPr>
        <w:t>华孚时尚股份有限公司</w:t>
      </w:r>
    </w:p>
    <w:p w:rsidR="00A965E4" w:rsidRDefault="00E15F6D" w:rsidP="00CC2814">
      <w:pPr>
        <w:spacing w:before="360" w:after="600" w:line="400" w:lineRule="exact"/>
        <w:jc w:val="center"/>
        <w:rPr>
          <w:rFonts w:ascii="宋体" w:eastAsia="宋体" w:hAnsi="宋体" w:cs="宋体"/>
          <w:b/>
          <w:bCs/>
          <w:sz w:val="32"/>
          <w:szCs w:val="32"/>
        </w:rPr>
      </w:pPr>
      <w:r>
        <w:rPr>
          <w:rFonts w:ascii="宋体" w:eastAsia="宋体" w:hAnsi="宋体" w:cs="宋体"/>
          <w:b/>
          <w:bCs/>
          <w:sz w:val="32"/>
          <w:szCs w:val="32"/>
        </w:rPr>
        <w:t>2022年第三季度报告</w:t>
      </w:r>
    </w:p>
    <w:p w:rsidR="00CC2814" w:rsidRDefault="00CC2814" w:rsidP="00CC2814">
      <w:pPr>
        <w:wordWrap w:val="0"/>
        <w:autoSpaceDE w:val="0"/>
        <w:autoSpaceDN w:val="0"/>
        <w:adjustRightInd w:val="0"/>
        <w:ind w:firstLineChars="200" w:firstLine="480"/>
        <w:rPr>
          <w:rFonts w:ascii="楷体" w:eastAsia="楷体" w:hAnsi="楷体"/>
          <w:kern w:val="0"/>
          <w:sz w:val="24"/>
          <w:szCs w:val="24"/>
        </w:rPr>
      </w:pPr>
      <w:r>
        <w:rPr>
          <w:rFonts w:ascii="楷体" w:eastAsia="楷体" w:hAnsi="楷体"/>
          <w:kern w:val="0"/>
          <w:sz w:val="24"/>
          <w:szCs w:val="24"/>
        </w:rPr>
        <w:t>本公司及</w:t>
      </w:r>
      <w:r>
        <w:rPr>
          <w:rFonts w:ascii="楷体" w:eastAsia="楷体" w:hAnsi="楷体" w:hint="eastAsia"/>
          <w:kern w:val="0"/>
          <w:sz w:val="24"/>
          <w:szCs w:val="24"/>
        </w:rPr>
        <w:t>董</w:t>
      </w:r>
      <w:r>
        <w:rPr>
          <w:rFonts w:ascii="楷体" w:eastAsia="楷体" w:hAnsi="楷体"/>
          <w:kern w:val="0"/>
          <w:sz w:val="24"/>
          <w:szCs w:val="24"/>
        </w:rPr>
        <w:t>事会全体成员保证信息披露的内容真实、准确、完整，没有虚假记载、误导性陈述或重大遗漏。</w:t>
      </w:r>
    </w:p>
    <w:p w:rsidR="00CC2814" w:rsidRPr="00CC2814" w:rsidRDefault="00CC2814">
      <w:pPr>
        <w:spacing w:before="40" w:after="40" w:line="420" w:lineRule="exact"/>
        <w:rPr>
          <w:rFonts w:ascii="宋体" w:eastAsia="宋体" w:hAnsi="宋体" w:cs="宋体"/>
          <w:b/>
          <w:bCs/>
          <w:sz w:val="24"/>
          <w:szCs w:val="24"/>
        </w:rPr>
      </w:pPr>
    </w:p>
    <w:p w:rsidR="00A965E4" w:rsidRDefault="00E15F6D">
      <w:pPr>
        <w:spacing w:before="40" w:after="40" w:line="420" w:lineRule="exact"/>
        <w:rPr>
          <w:rFonts w:ascii="宋体" w:eastAsia="宋体" w:hAnsi="宋体" w:cs="宋体"/>
          <w:b/>
          <w:bCs/>
          <w:sz w:val="24"/>
          <w:szCs w:val="24"/>
        </w:rPr>
      </w:pPr>
      <w:r>
        <w:rPr>
          <w:rFonts w:ascii="宋体" w:eastAsia="宋体" w:hAnsi="宋体" w:cs="宋体"/>
          <w:b/>
          <w:bCs/>
          <w:sz w:val="24"/>
          <w:szCs w:val="24"/>
        </w:rPr>
        <w:t>重要内容提示：</w:t>
      </w:r>
    </w:p>
    <w:p w:rsidR="00A965E4" w:rsidRDefault="00E15F6D">
      <w:pPr>
        <w:spacing w:before="100" w:after="100" w:line="400" w:lineRule="exact"/>
        <w:rPr>
          <w:rFonts w:ascii="宋体" w:eastAsia="宋体" w:hAnsi="宋体" w:cs="宋体"/>
          <w:sz w:val="18"/>
          <w:szCs w:val="18"/>
        </w:rPr>
      </w:pPr>
      <w:r>
        <w:rPr>
          <w:rFonts w:ascii="宋体" w:eastAsia="宋体" w:hAnsi="宋体" w:cs="宋体"/>
          <w:sz w:val="18"/>
          <w:szCs w:val="18"/>
        </w:rPr>
        <w:t>1.董事会、监事会及董事、监事、高级管理人员保证季度报告的真实、准确、完整，不存在虚假记载、误导性陈述或重大遗漏，并承担个别和连带的法律责任。</w:t>
      </w:r>
    </w:p>
    <w:p w:rsidR="00A965E4" w:rsidRDefault="00E15F6D">
      <w:pPr>
        <w:spacing w:before="100" w:after="100" w:line="400" w:lineRule="exact"/>
        <w:rPr>
          <w:rFonts w:ascii="宋体" w:eastAsia="宋体" w:hAnsi="宋体" w:cs="宋体"/>
          <w:sz w:val="18"/>
          <w:szCs w:val="18"/>
        </w:rPr>
      </w:pPr>
      <w:r>
        <w:rPr>
          <w:rFonts w:ascii="宋体" w:eastAsia="宋体" w:hAnsi="宋体" w:cs="宋体"/>
          <w:sz w:val="18"/>
          <w:szCs w:val="18"/>
        </w:rPr>
        <w:t>2.公司负责人、主管会计工作负责人及会计机构负责人(会计主管人员)声明：保证季度报告中财务信息的真实、准确、完整。</w:t>
      </w:r>
    </w:p>
    <w:p w:rsidR="00A965E4" w:rsidRDefault="00E15F6D">
      <w:pPr>
        <w:spacing w:before="100" w:after="100" w:line="400" w:lineRule="exact"/>
        <w:rPr>
          <w:rFonts w:ascii="宋体" w:eastAsia="宋体" w:hAnsi="宋体" w:cs="宋体"/>
          <w:sz w:val="18"/>
          <w:szCs w:val="18"/>
        </w:rPr>
      </w:pPr>
      <w:r>
        <w:rPr>
          <w:rFonts w:ascii="宋体" w:eastAsia="宋体" w:hAnsi="宋体" w:cs="宋体"/>
          <w:sz w:val="18"/>
          <w:szCs w:val="18"/>
        </w:rPr>
        <w:t>3.第三季度报告是否经过审计</w:t>
      </w:r>
    </w:p>
    <w:p w:rsidR="00A965E4" w:rsidRDefault="00E15F6D">
      <w:pPr>
        <w:spacing w:before="100" w:after="100" w:line="40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A965E4" w:rsidRDefault="00E15F6D">
      <w:r>
        <w:br w:type="page"/>
      </w:r>
    </w:p>
    <w:p w:rsidR="00A965E4" w:rsidRDefault="00E15F6D">
      <w:pPr>
        <w:pStyle w:val="headingh1"/>
        <w:spacing w:before="300" w:after="300" w:line="320" w:lineRule="exact"/>
        <w:rPr>
          <w:rFonts w:ascii="宋体" w:eastAsia="宋体" w:hAnsi="宋体" w:cs="宋体"/>
          <w:b/>
          <w:bCs/>
          <w:sz w:val="24"/>
          <w:szCs w:val="24"/>
        </w:rPr>
      </w:pPr>
      <w:bookmarkStart w:id="0" w:name="_Toc988889"/>
      <w:r>
        <w:rPr>
          <w:rFonts w:ascii="宋体" w:eastAsia="宋体" w:hAnsi="宋体" w:cs="宋体"/>
          <w:b/>
          <w:bCs/>
          <w:sz w:val="24"/>
          <w:szCs w:val="24"/>
        </w:rPr>
        <w:lastRenderedPageBreak/>
        <w:t>一、主要财务数据</w:t>
      </w:r>
      <w:bookmarkEnd w:id="0"/>
    </w:p>
    <w:p w:rsidR="00A965E4" w:rsidRDefault="00E15F6D">
      <w:pPr>
        <w:pStyle w:val="2"/>
        <w:spacing w:before="300" w:after="300" w:line="280" w:lineRule="exact"/>
        <w:rPr>
          <w:rFonts w:ascii="宋体" w:eastAsia="宋体" w:hAnsi="宋体" w:cs="宋体"/>
          <w:b/>
          <w:bCs/>
        </w:rPr>
      </w:pPr>
      <w:bookmarkStart w:id="1" w:name="_Toc988890"/>
      <w:r>
        <w:rPr>
          <w:rFonts w:ascii="宋体" w:eastAsia="宋体" w:hAnsi="宋体" w:cs="宋体"/>
          <w:b/>
          <w:bCs/>
        </w:rPr>
        <w:t>（一） 主要会计数据和财务指标</w:t>
      </w:r>
      <w:bookmarkEnd w:id="1"/>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518"/>
        <w:gridCol w:w="1843"/>
        <w:gridCol w:w="1843"/>
        <w:gridCol w:w="1842"/>
        <w:gridCol w:w="1593"/>
      </w:tblGrid>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年初</w:t>
            </w:r>
            <w:proofErr w:type="gramStart"/>
            <w:r>
              <w:rPr>
                <w:rFonts w:ascii="宋体" w:eastAsia="宋体" w:hAnsi="宋体" w:cs="宋体"/>
                <w:sz w:val="18"/>
                <w:szCs w:val="18"/>
              </w:rPr>
              <w:t>至报告</w:t>
            </w:r>
            <w:proofErr w:type="gramEnd"/>
            <w:r>
              <w:rPr>
                <w:rFonts w:ascii="宋体" w:eastAsia="宋体" w:hAnsi="宋体" w:cs="宋体"/>
                <w:sz w:val="18"/>
                <w:szCs w:val="18"/>
              </w:rPr>
              <w:t>期末</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年初</w:t>
            </w:r>
            <w:proofErr w:type="gramStart"/>
            <w:r>
              <w:rPr>
                <w:rFonts w:ascii="宋体" w:eastAsia="宋体" w:hAnsi="宋体" w:cs="宋体"/>
                <w:sz w:val="18"/>
                <w:szCs w:val="18"/>
              </w:rPr>
              <w:t>至报告</w:t>
            </w:r>
            <w:proofErr w:type="gramEnd"/>
            <w:r>
              <w:rPr>
                <w:rFonts w:ascii="宋体" w:eastAsia="宋体" w:hAnsi="宋体" w:cs="宋体"/>
                <w:sz w:val="18"/>
                <w:szCs w:val="18"/>
              </w:rPr>
              <w:t>期末比上年同期增减</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营业收入（元）</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4,765,589,199.46</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14.55%</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13,301,559,301.89</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4.61%</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8,053,944.70</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-94.39%</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300,550,544.45</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-32.51%</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5,714,367.33</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-95.27%</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282,415,045.33</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-16.73%</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1,361,773,104.01</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-50.12%</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基本每股收益（元/股）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-92.89%</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0.18</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-28.00%</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稀释每股收益（元/股）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-91.61%</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0.18</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-28.00%</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-2.41%</w:t>
            </w:r>
          </w:p>
        </w:tc>
        <w:tc>
          <w:tcPr>
            <w:tcW w:w="1842"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159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-3.42%</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343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总资产（元）</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18,071,988,473.49</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20,138,185,868.88</w:t>
            </w:r>
          </w:p>
        </w:tc>
        <w:tc>
          <w:tcPr>
            <w:tcW w:w="3435"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-10.26%</w:t>
            </w:r>
          </w:p>
        </w:tc>
      </w:tr>
      <w:tr w:rsidR="00A965E4" w:rsidTr="00E15F6D">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归属于上市公司股东的所有者权益（元）</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7,001,919,055.95</w:t>
            </w:r>
          </w:p>
        </w:tc>
        <w:tc>
          <w:tcPr>
            <w:tcW w:w="184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3435"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-0.10%</w:t>
            </w:r>
          </w:p>
        </w:tc>
      </w:tr>
    </w:tbl>
    <w:p w:rsidR="00A965E4" w:rsidRDefault="00A965E4">
      <w:pPr>
        <w:spacing w:before="100" w:after="100" w:line="0" w:lineRule="atLeast"/>
      </w:pPr>
    </w:p>
    <w:p w:rsidR="00A965E4" w:rsidRDefault="00E15F6D">
      <w:pPr>
        <w:pStyle w:val="2"/>
        <w:spacing w:before="300" w:after="300" w:line="280" w:lineRule="exact"/>
        <w:rPr>
          <w:rFonts w:ascii="宋体" w:eastAsia="宋体" w:hAnsi="宋体" w:cs="宋体"/>
          <w:b/>
          <w:bCs/>
        </w:rPr>
      </w:pPr>
      <w:bookmarkStart w:id="2" w:name="_Toc988891"/>
      <w:r>
        <w:rPr>
          <w:rFonts w:ascii="宋体" w:eastAsia="宋体" w:hAnsi="宋体" w:cs="宋体"/>
          <w:b/>
          <w:bCs/>
        </w:rPr>
        <w:t>（二） 非经常性损益项目和金额</w:t>
      </w:r>
      <w:bookmarkEnd w:id="2"/>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4786"/>
        <w:gridCol w:w="1701"/>
        <w:gridCol w:w="2410"/>
        <w:gridCol w:w="742"/>
      </w:tblGrid>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期金额</w:t>
            </w:r>
            <w:proofErr w:type="gramEnd"/>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年初</w:t>
            </w:r>
            <w:proofErr w:type="gramStart"/>
            <w:r>
              <w:rPr>
                <w:rFonts w:ascii="宋体" w:eastAsia="宋体" w:hAnsi="宋体" w:cs="宋体"/>
                <w:sz w:val="18"/>
                <w:szCs w:val="18"/>
              </w:rPr>
              <w:t>至报告</w:t>
            </w:r>
            <w:proofErr w:type="gramEnd"/>
            <w:r>
              <w:rPr>
                <w:rFonts w:ascii="宋体" w:eastAsia="宋体" w:hAnsi="宋体" w:cs="宋体"/>
                <w:sz w:val="18"/>
                <w:szCs w:val="18"/>
              </w:rPr>
              <w:t>期期末金额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说明</w:t>
            </w: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非流动资产处置损益（包括已计提资产减值准备的冲销部分）</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7,066,208.75</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13,557,293.82</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计入当期损益的政府补助（与公司正常经营业务密切相关，符合国家政策规定、按照一定标准定额或定量持续享受的政府补助除外）</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6,838,814.19</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23,019,926.43</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4,465,252.81</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12,851,339.52</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-27,558,527.87</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-62,369,069.42</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6,671,250.66</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23,357,069.86</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减：所得税影响额</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-6,264,027.18</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-12,562,210.53</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1,407,448.35</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4,843,271.62</w:t>
            </w:r>
          </w:p>
        </w:tc>
        <w:tc>
          <w:tcPr>
            <w:tcW w:w="742"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r>
      <w:tr w:rsidR="00A965E4" w:rsidTr="00E15F6D">
        <w:trPr>
          <w:trHeight w:val="240"/>
        </w:trPr>
        <w:tc>
          <w:tcPr>
            <w:tcW w:w="4786"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2,339,577.37</w:t>
            </w:r>
          </w:p>
        </w:tc>
        <w:tc>
          <w:tcPr>
            <w:tcW w:w="2410"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18,135,499.12</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A965E4" w:rsidRDefault="00E15F6D">
      <w:pPr>
        <w:spacing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A965E4" w:rsidRDefault="00E15F6D">
      <w:pPr>
        <w:spacing w:before="40" w:after="4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A965E4" w:rsidRDefault="00E15F6D">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rsidR="00A965E4" w:rsidRDefault="00E15F6D">
      <w:pPr>
        <w:pStyle w:val="2"/>
        <w:spacing w:before="300" w:after="300" w:line="280" w:lineRule="exact"/>
        <w:rPr>
          <w:rFonts w:ascii="宋体" w:eastAsia="宋体" w:hAnsi="宋体" w:cs="宋体"/>
          <w:b/>
          <w:bCs/>
        </w:rPr>
      </w:pPr>
      <w:bookmarkStart w:id="3" w:name="_Toc988892"/>
      <w:r>
        <w:rPr>
          <w:rFonts w:ascii="宋体" w:eastAsia="宋体" w:hAnsi="宋体" w:cs="宋体"/>
          <w:b/>
          <w:bCs/>
        </w:rPr>
        <w:lastRenderedPageBreak/>
        <w:t>（三） 主要会计数据和财务指标发生变动的情况及原因</w:t>
      </w:r>
      <w:bookmarkEnd w:id="3"/>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4F635D" w:rsidRDefault="00E15F6D">
      <w:pPr>
        <w:pStyle w:val="a3"/>
        <w:divId w:val="1577518515"/>
        <w:rPr>
          <w:sz w:val="18"/>
          <w:szCs w:val="18"/>
        </w:rPr>
      </w:pPr>
      <w:r>
        <w:rPr>
          <w:rFonts w:hint="eastAsia"/>
          <w:sz w:val="18"/>
          <w:szCs w:val="18"/>
        </w:rPr>
        <w:t>1. 资产负债表变动原因说明：</w:t>
      </w:r>
    </w:p>
    <w:tbl>
      <w:tblPr>
        <w:tblW w:w="9702" w:type="dxa"/>
        <w:tblCellMar>
          <w:left w:w="0" w:type="dxa"/>
          <w:right w:w="0" w:type="dxa"/>
        </w:tblCellMar>
        <w:tblLook w:val="04A0" w:firstRow="1" w:lastRow="0" w:firstColumn="1" w:lastColumn="0" w:noHBand="0" w:noVBand="1"/>
      </w:tblPr>
      <w:tblGrid>
        <w:gridCol w:w="2278"/>
        <w:gridCol w:w="1843"/>
        <w:gridCol w:w="1985"/>
        <w:gridCol w:w="1275"/>
        <w:gridCol w:w="2321"/>
      </w:tblGrid>
      <w:tr w:rsidR="004F635D" w:rsidRPr="00E15F6D" w:rsidTr="00E15F6D">
        <w:trPr>
          <w:divId w:val="1577518515"/>
          <w:trHeight w:val="308"/>
        </w:trPr>
        <w:tc>
          <w:tcPr>
            <w:tcW w:w="2278"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宋体"/>
                <w:sz w:val="20"/>
                <w:szCs w:val="20"/>
              </w:rPr>
            </w:pPr>
            <w:r w:rsidRPr="00E15F6D">
              <w:rPr>
                <w:rFonts w:asciiTheme="minorEastAsia" w:hAnsiTheme="minorEastAsia" w:hint="eastAsia"/>
                <w:sz w:val="20"/>
                <w:szCs w:val="20"/>
              </w:rPr>
              <w:t>项目</w:t>
            </w:r>
          </w:p>
        </w:tc>
        <w:tc>
          <w:tcPr>
            <w:tcW w:w="1843"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Times New Roman"/>
                <w:sz w:val="20"/>
                <w:szCs w:val="20"/>
              </w:rPr>
            </w:pPr>
            <w:r w:rsidRPr="00E15F6D">
              <w:rPr>
                <w:rFonts w:asciiTheme="minorEastAsia" w:hAnsiTheme="minorEastAsia" w:cs="Times New Roman"/>
                <w:sz w:val="20"/>
                <w:szCs w:val="20"/>
              </w:rPr>
              <w:t>期末数</w:t>
            </w:r>
          </w:p>
        </w:tc>
        <w:tc>
          <w:tcPr>
            <w:tcW w:w="1985"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Times New Roman"/>
                <w:sz w:val="20"/>
                <w:szCs w:val="20"/>
              </w:rPr>
            </w:pPr>
            <w:r w:rsidRPr="00E15F6D">
              <w:rPr>
                <w:rFonts w:asciiTheme="minorEastAsia" w:hAnsiTheme="minorEastAsia" w:cs="Times New Roman"/>
                <w:sz w:val="20"/>
                <w:szCs w:val="20"/>
              </w:rPr>
              <w:t>期初数</w:t>
            </w:r>
          </w:p>
        </w:tc>
        <w:tc>
          <w:tcPr>
            <w:tcW w:w="1275"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宋体"/>
                <w:sz w:val="20"/>
                <w:szCs w:val="20"/>
              </w:rPr>
            </w:pPr>
            <w:r w:rsidRPr="00E15F6D">
              <w:rPr>
                <w:rFonts w:asciiTheme="minorEastAsia" w:hAnsiTheme="minorEastAsia" w:hint="eastAsia"/>
                <w:sz w:val="20"/>
                <w:szCs w:val="20"/>
              </w:rPr>
              <w:t>变动比率</w:t>
            </w:r>
          </w:p>
        </w:tc>
        <w:tc>
          <w:tcPr>
            <w:tcW w:w="2321"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宋体"/>
                <w:sz w:val="20"/>
                <w:szCs w:val="20"/>
              </w:rPr>
            </w:pPr>
            <w:r w:rsidRPr="00E15F6D">
              <w:rPr>
                <w:rFonts w:asciiTheme="minorEastAsia" w:hAnsiTheme="minorEastAsia" w:hint="eastAsia"/>
                <w:sz w:val="20"/>
                <w:szCs w:val="20"/>
              </w:rPr>
              <w:t>变动原因</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交易性金融资产</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953,424,020.08</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616,725,654.58</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54.59%</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主要系理财产品增加所致。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应收票据</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145,510,392.20</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76,426,665.25</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90.39%</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主要系票据结算业务增加所致。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预付款项</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804,610,004.21</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606,832,949.18</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32.59%</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主要系预付原料款增加所致。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存货</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4</w:t>
            </w:r>
            <w:r w:rsidRPr="00E15F6D">
              <w:rPr>
                <w:rFonts w:asciiTheme="minorEastAsia" w:hAnsiTheme="minorEastAsia" w:cs="Times New Roman"/>
                <w:sz w:val="20"/>
                <w:szCs w:val="20"/>
                <w:shd w:val="clear" w:color="auto" w:fill="FFFFFF"/>
              </w:rPr>
              <w:t>,</w:t>
            </w:r>
            <w:r w:rsidRPr="00E15F6D">
              <w:rPr>
                <w:rFonts w:asciiTheme="minorEastAsia" w:hAnsiTheme="minorEastAsia" w:cs="Times New Roman"/>
                <w:sz w:val="20"/>
                <w:szCs w:val="20"/>
              </w:rPr>
              <w:t>343</w:t>
            </w:r>
            <w:r w:rsidRPr="00E15F6D">
              <w:rPr>
                <w:rFonts w:asciiTheme="minorEastAsia" w:hAnsiTheme="minorEastAsia" w:cs="Times New Roman"/>
                <w:sz w:val="20"/>
                <w:szCs w:val="20"/>
                <w:shd w:val="clear" w:color="auto" w:fill="FFFFFF"/>
              </w:rPr>
              <w:t>,</w:t>
            </w:r>
            <w:r w:rsidRPr="00E15F6D">
              <w:rPr>
                <w:rFonts w:asciiTheme="minorEastAsia" w:hAnsiTheme="minorEastAsia" w:cs="Times New Roman"/>
                <w:sz w:val="20"/>
                <w:szCs w:val="20"/>
              </w:rPr>
              <w:t>617</w:t>
            </w:r>
            <w:r w:rsidRPr="00E15F6D">
              <w:rPr>
                <w:rFonts w:asciiTheme="minorEastAsia" w:hAnsiTheme="minorEastAsia" w:cs="Times New Roman"/>
                <w:sz w:val="20"/>
                <w:szCs w:val="20"/>
                <w:shd w:val="clear" w:color="auto" w:fill="FFFFFF"/>
              </w:rPr>
              <w:t>,</w:t>
            </w:r>
            <w:r w:rsidRPr="00E15F6D">
              <w:rPr>
                <w:rFonts w:asciiTheme="minorEastAsia" w:hAnsiTheme="minorEastAsia" w:cs="Times New Roman"/>
                <w:sz w:val="20"/>
                <w:szCs w:val="20"/>
              </w:rPr>
              <w:t>901.36</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6,560,654,772.15</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-33.79%</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w:t>
            </w:r>
            <w:proofErr w:type="gramStart"/>
            <w:r w:rsidRPr="00E15F6D">
              <w:rPr>
                <w:rFonts w:asciiTheme="minorEastAsia" w:hAnsiTheme="minorEastAsia" w:hint="eastAsia"/>
                <w:sz w:val="20"/>
                <w:szCs w:val="20"/>
              </w:rPr>
              <w:t>前端网链</w:t>
            </w:r>
            <w:proofErr w:type="gramEnd"/>
            <w:r w:rsidRPr="00E15F6D">
              <w:rPr>
                <w:rFonts w:asciiTheme="minorEastAsia" w:hAnsiTheme="minorEastAsia" w:hint="eastAsia"/>
                <w:sz w:val="20"/>
                <w:szCs w:val="20"/>
              </w:rPr>
              <w:t>棉花清库存所致。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其他流动资产</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113,136,000.51</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283,862,836.17</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-60.14%</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主要系留抵退税减少所致。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应付票据</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115,379,104.83</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206,404,734.39</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-44.10%</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主要系票据贴现业务增加所致。</w:t>
            </w:r>
          </w:p>
        </w:tc>
      </w:tr>
      <w:tr w:rsidR="004F635D" w:rsidRPr="00E15F6D" w:rsidTr="00E15F6D">
        <w:trPr>
          <w:divId w:val="1577518515"/>
          <w:trHeight w:val="572"/>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合同负债</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339,067,409.86</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1,143,739,643.08</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-70.35%</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w:t>
            </w:r>
            <w:proofErr w:type="gramStart"/>
            <w:r w:rsidRPr="00E15F6D">
              <w:rPr>
                <w:rFonts w:asciiTheme="minorEastAsia" w:hAnsiTheme="minorEastAsia" w:hint="eastAsia"/>
                <w:sz w:val="20"/>
                <w:szCs w:val="20"/>
              </w:rPr>
              <w:t>系业务</w:t>
            </w:r>
            <w:proofErr w:type="gramEnd"/>
            <w:r w:rsidRPr="00E15F6D">
              <w:rPr>
                <w:rFonts w:asciiTheme="minorEastAsia" w:hAnsiTheme="minorEastAsia" w:hint="eastAsia"/>
                <w:sz w:val="20"/>
                <w:szCs w:val="20"/>
              </w:rPr>
              <w:t>调整所致。</w:t>
            </w:r>
          </w:p>
        </w:tc>
      </w:tr>
      <w:tr w:rsidR="004F635D" w:rsidRPr="00E15F6D" w:rsidTr="00E15F6D">
        <w:trPr>
          <w:divId w:val="1577518515"/>
          <w:trHeight w:val="754"/>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应付职工薪酬</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58,345,542.39</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89,111,887.02</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-34.53%</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主要系奖金减少所致。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应交税费</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48,265,015.61</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178,434,429.26</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-72.95%</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主要系应付所得税减少所致。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一年内到期的非流动负债</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154,054,743.36</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256,240,257.89</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-39.88%</w:t>
            </w:r>
          </w:p>
        </w:tc>
        <w:tc>
          <w:tcPr>
            <w:tcW w:w="2321"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主要系一年内到期的长期借款减少所致。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其他综合收益</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-814,370.24</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-52,730,766.82</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-98.46%</w:t>
            </w:r>
          </w:p>
        </w:tc>
        <w:tc>
          <w:tcPr>
            <w:tcW w:w="2321" w:type="dxa"/>
            <w:tcBorders>
              <w:top w:val="nil"/>
              <w:left w:val="nil"/>
              <w:bottom w:val="single" w:sz="8" w:space="0" w:color="auto"/>
              <w:right w:val="single" w:sz="8" w:space="0" w:color="auto"/>
            </w:tcBorders>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主要系外币财务报表折算差额变动所致。</w:t>
            </w:r>
          </w:p>
        </w:tc>
      </w:tr>
    </w:tbl>
    <w:p w:rsidR="004F635D" w:rsidRDefault="00E15F6D">
      <w:pPr>
        <w:pStyle w:val="a3"/>
        <w:divId w:val="1577518515"/>
        <w:rPr>
          <w:sz w:val="18"/>
          <w:szCs w:val="18"/>
        </w:rPr>
      </w:pPr>
      <w:r>
        <w:rPr>
          <w:rFonts w:hint="eastAsia"/>
          <w:sz w:val="18"/>
          <w:szCs w:val="18"/>
        </w:rPr>
        <w:t>2.利润</w:t>
      </w:r>
      <w:proofErr w:type="gramStart"/>
      <w:r>
        <w:rPr>
          <w:rFonts w:hint="eastAsia"/>
          <w:sz w:val="18"/>
          <w:szCs w:val="18"/>
        </w:rPr>
        <w:t>表项目</w:t>
      </w:r>
      <w:proofErr w:type="gramEnd"/>
      <w:r>
        <w:rPr>
          <w:rFonts w:hint="eastAsia"/>
          <w:sz w:val="18"/>
          <w:szCs w:val="18"/>
        </w:rPr>
        <w:t>变动原因说明：</w:t>
      </w:r>
      <w:bookmarkStart w:id="4" w:name="_GoBack"/>
      <w:bookmarkEnd w:id="4"/>
    </w:p>
    <w:tbl>
      <w:tblPr>
        <w:tblW w:w="9674" w:type="dxa"/>
        <w:tblCellMar>
          <w:left w:w="0" w:type="dxa"/>
          <w:right w:w="0" w:type="dxa"/>
        </w:tblCellMar>
        <w:tblLook w:val="04A0" w:firstRow="1" w:lastRow="0" w:firstColumn="1" w:lastColumn="0" w:noHBand="0" w:noVBand="1"/>
      </w:tblPr>
      <w:tblGrid>
        <w:gridCol w:w="2278"/>
        <w:gridCol w:w="1843"/>
        <w:gridCol w:w="1985"/>
        <w:gridCol w:w="1275"/>
        <w:gridCol w:w="2293"/>
      </w:tblGrid>
      <w:tr w:rsidR="004F635D" w:rsidRPr="00E15F6D" w:rsidTr="00E15F6D">
        <w:trPr>
          <w:divId w:val="1577518515"/>
          <w:trHeight w:val="294"/>
        </w:trPr>
        <w:tc>
          <w:tcPr>
            <w:tcW w:w="2278"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宋体"/>
                <w:sz w:val="20"/>
                <w:szCs w:val="20"/>
              </w:rPr>
            </w:pPr>
            <w:r w:rsidRPr="00E15F6D">
              <w:rPr>
                <w:rFonts w:asciiTheme="minorEastAsia" w:hAnsiTheme="minorEastAsia" w:hint="eastAsia"/>
                <w:sz w:val="20"/>
                <w:szCs w:val="20"/>
              </w:rPr>
              <w:t>项目</w:t>
            </w:r>
          </w:p>
        </w:tc>
        <w:tc>
          <w:tcPr>
            <w:tcW w:w="1843"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Times New Roman"/>
                <w:sz w:val="20"/>
                <w:szCs w:val="20"/>
              </w:rPr>
            </w:pPr>
            <w:r w:rsidRPr="00E15F6D">
              <w:rPr>
                <w:rFonts w:asciiTheme="minorEastAsia" w:hAnsiTheme="minorEastAsia" w:cs="Times New Roman"/>
                <w:sz w:val="20"/>
                <w:szCs w:val="20"/>
              </w:rPr>
              <w:t>本期发生额</w:t>
            </w:r>
          </w:p>
        </w:tc>
        <w:tc>
          <w:tcPr>
            <w:tcW w:w="1985"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Times New Roman"/>
                <w:sz w:val="20"/>
                <w:szCs w:val="20"/>
              </w:rPr>
            </w:pPr>
            <w:r w:rsidRPr="00E15F6D">
              <w:rPr>
                <w:rFonts w:asciiTheme="minorEastAsia" w:hAnsiTheme="minorEastAsia" w:cs="Times New Roman"/>
                <w:sz w:val="20"/>
                <w:szCs w:val="20"/>
              </w:rPr>
              <w:t>上期发生额</w:t>
            </w:r>
          </w:p>
        </w:tc>
        <w:tc>
          <w:tcPr>
            <w:tcW w:w="1275"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宋体"/>
                <w:sz w:val="20"/>
                <w:szCs w:val="20"/>
              </w:rPr>
            </w:pPr>
            <w:r w:rsidRPr="00E15F6D">
              <w:rPr>
                <w:rFonts w:asciiTheme="minorEastAsia" w:hAnsiTheme="minorEastAsia" w:hint="eastAsia"/>
                <w:sz w:val="20"/>
                <w:szCs w:val="20"/>
              </w:rPr>
              <w:t>变动比率</w:t>
            </w:r>
          </w:p>
        </w:tc>
        <w:tc>
          <w:tcPr>
            <w:tcW w:w="2293" w:type="dxa"/>
            <w:tcBorders>
              <w:top w:val="single" w:sz="8" w:space="0" w:color="auto"/>
              <w:left w:val="nil"/>
              <w:bottom w:val="single" w:sz="8" w:space="0" w:color="auto"/>
              <w:right w:val="single" w:sz="8" w:space="0" w:color="auto"/>
            </w:tcBorders>
            <w:shd w:val="clear" w:color="auto" w:fill="FFFFFF"/>
            <w:vAlign w:val="center"/>
            <w:hideMark/>
          </w:tcPr>
          <w:p w:rsidR="004F635D" w:rsidRPr="00E15F6D" w:rsidRDefault="00E15F6D" w:rsidP="00E15F6D">
            <w:pPr>
              <w:jc w:val="center"/>
              <w:rPr>
                <w:rFonts w:asciiTheme="minorEastAsia" w:hAnsiTheme="minorEastAsia" w:cs="宋体"/>
                <w:sz w:val="20"/>
                <w:szCs w:val="20"/>
              </w:rPr>
            </w:pPr>
            <w:r w:rsidRPr="00E15F6D">
              <w:rPr>
                <w:rFonts w:asciiTheme="minorEastAsia" w:hAnsiTheme="minorEastAsia" w:hint="eastAsia"/>
                <w:sz w:val="20"/>
                <w:szCs w:val="20"/>
              </w:rPr>
              <w:t>变动原因</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投资收益</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-27,063,369.37</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28,054,864.47</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-196.47%</w:t>
            </w:r>
          </w:p>
        </w:tc>
        <w:tc>
          <w:tcPr>
            <w:tcW w:w="229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主要系期货交割收益减少所致。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公允价值变动收益</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-23,212,673.72</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9,998,323.07</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-332.17%</w:t>
            </w:r>
          </w:p>
        </w:tc>
        <w:tc>
          <w:tcPr>
            <w:tcW w:w="229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主要系期货的公允价值减少所致。</w:t>
            </w:r>
          </w:p>
        </w:tc>
      </w:tr>
      <w:tr w:rsidR="004F635D" w:rsidRPr="00E15F6D" w:rsidTr="00E15F6D">
        <w:trPr>
          <w:divId w:val="1577518515"/>
          <w:trHeight w:val="548"/>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jc w:val="both"/>
              <w:rPr>
                <w:rFonts w:asciiTheme="minorEastAsia" w:hAnsiTheme="minorEastAsia" w:cs="宋体"/>
                <w:sz w:val="20"/>
                <w:szCs w:val="20"/>
              </w:rPr>
            </w:pPr>
            <w:r w:rsidRPr="00E15F6D">
              <w:rPr>
                <w:rFonts w:asciiTheme="minorEastAsia" w:hAnsiTheme="minorEastAsia" w:hint="eastAsia"/>
                <w:sz w:val="20"/>
                <w:szCs w:val="20"/>
              </w:rPr>
              <w:t>信用减值损失</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-15,665,308.44</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-10,332,069.40</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51.62%</w:t>
            </w:r>
          </w:p>
        </w:tc>
        <w:tc>
          <w:tcPr>
            <w:tcW w:w="229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主要系坏账计提所致。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资产减值损失</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54,349,513.26</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11,284,895.10</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381.61%</w:t>
            </w:r>
          </w:p>
        </w:tc>
        <w:tc>
          <w:tcPr>
            <w:tcW w:w="229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主要系存货跌价结转所致。</w:t>
            </w:r>
          </w:p>
        </w:tc>
      </w:tr>
      <w:tr w:rsidR="004F635D" w:rsidRPr="00E15F6D" w:rsidTr="00E15F6D">
        <w:trPr>
          <w:divId w:val="1577518515"/>
          <w:trHeight w:val="60"/>
        </w:trPr>
        <w:tc>
          <w:tcPr>
            <w:tcW w:w="2278" w:type="dxa"/>
            <w:tcBorders>
              <w:top w:val="nil"/>
              <w:left w:val="single" w:sz="8" w:space="0" w:color="auto"/>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营业外支出</w:t>
            </w:r>
          </w:p>
        </w:tc>
        <w:tc>
          <w:tcPr>
            <w:tcW w:w="184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2,634,018.28</w:t>
            </w:r>
          </w:p>
        </w:tc>
        <w:tc>
          <w:tcPr>
            <w:tcW w:w="198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10,430,795.28</w:t>
            </w:r>
          </w:p>
        </w:tc>
        <w:tc>
          <w:tcPr>
            <w:tcW w:w="1275"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jc w:val="right"/>
              <w:rPr>
                <w:rFonts w:asciiTheme="minorEastAsia" w:hAnsiTheme="minorEastAsia" w:cs="Times New Roman"/>
                <w:sz w:val="20"/>
                <w:szCs w:val="20"/>
              </w:rPr>
            </w:pPr>
            <w:r w:rsidRPr="00E15F6D">
              <w:rPr>
                <w:rFonts w:asciiTheme="minorEastAsia" w:hAnsiTheme="minorEastAsia" w:cs="Times New Roman"/>
                <w:sz w:val="20"/>
                <w:szCs w:val="20"/>
              </w:rPr>
              <w:t>-74.75%</w:t>
            </w:r>
          </w:p>
        </w:tc>
        <w:tc>
          <w:tcPr>
            <w:tcW w:w="2293" w:type="dxa"/>
            <w:tcBorders>
              <w:top w:val="nil"/>
              <w:left w:val="nil"/>
              <w:bottom w:val="single" w:sz="8" w:space="0" w:color="auto"/>
              <w:right w:val="single" w:sz="8" w:space="0" w:color="auto"/>
            </w:tcBorders>
            <w:shd w:val="clear" w:color="auto" w:fill="FFFFFF"/>
            <w:vAlign w:val="center"/>
            <w:hideMark/>
          </w:tcPr>
          <w:p w:rsidR="004F635D" w:rsidRPr="00E15F6D" w:rsidRDefault="00E15F6D">
            <w:pPr>
              <w:rPr>
                <w:rFonts w:asciiTheme="minorEastAsia" w:hAnsiTheme="minorEastAsia" w:cs="宋体"/>
                <w:sz w:val="20"/>
                <w:szCs w:val="20"/>
              </w:rPr>
            </w:pPr>
            <w:r w:rsidRPr="00E15F6D">
              <w:rPr>
                <w:rFonts w:asciiTheme="minorEastAsia" w:hAnsiTheme="minorEastAsia" w:hint="eastAsia"/>
                <w:sz w:val="20"/>
                <w:szCs w:val="20"/>
              </w:rPr>
              <w:t>主要系固定资产报废损失减少所致。</w:t>
            </w:r>
          </w:p>
        </w:tc>
      </w:tr>
    </w:tbl>
    <w:p w:rsidR="004F635D" w:rsidRPr="00E15F6D" w:rsidRDefault="00E15F6D" w:rsidP="00E15F6D">
      <w:pPr>
        <w:pStyle w:val="a3"/>
        <w:spacing w:before="0" w:beforeAutospacing="0" w:after="0" w:afterAutospacing="0"/>
        <w:divId w:val="1577518515"/>
        <w:rPr>
          <w:rFonts w:asciiTheme="minorEastAsia" w:eastAsiaTheme="minorEastAsia" w:hAnsiTheme="minorEastAsia"/>
          <w:sz w:val="18"/>
          <w:szCs w:val="18"/>
        </w:rPr>
      </w:pPr>
      <w:r w:rsidRPr="00E15F6D">
        <w:rPr>
          <w:rFonts w:asciiTheme="minorEastAsia" w:eastAsiaTheme="minorEastAsia" w:hAnsiTheme="minorEastAsia" w:hint="eastAsia"/>
          <w:sz w:val="18"/>
          <w:szCs w:val="18"/>
        </w:rPr>
        <w:t>3.现金流量表变动原因说明:</w:t>
      </w:r>
    </w:p>
    <w:p w:rsidR="004F635D" w:rsidRPr="00E15F6D" w:rsidRDefault="00E15F6D" w:rsidP="00E15F6D">
      <w:pPr>
        <w:pStyle w:val="a3"/>
        <w:spacing w:before="0" w:beforeAutospacing="0" w:after="0" w:afterAutospacing="0"/>
        <w:divId w:val="1577518515"/>
        <w:rPr>
          <w:rFonts w:asciiTheme="minorEastAsia" w:eastAsiaTheme="minorEastAsia" w:hAnsiTheme="minorEastAsia"/>
          <w:sz w:val="18"/>
          <w:szCs w:val="18"/>
        </w:rPr>
      </w:pPr>
      <w:r>
        <w:rPr>
          <w:rFonts w:asciiTheme="minorEastAsia" w:eastAsiaTheme="minorEastAsia" w:hAnsiTheme="minorEastAsia" w:cs="Times New Roman"/>
          <w:sz w:val="18"/>
          <w:szCs w:val="18"/>
        </w:rPr>
        <w:t xml:space="preserve">    </w:t>
      </w:r>
      <w:r w:rsidRPr="00E15F6D">
        <w:rPr>
          <w:rFonts w:asciiTheme="minorEastAsia" w:eastAsiaTheme="minorEastAsia" w:hAnsiTheme="minorEastAsia" w:cs="Times New Roman"/>
          <w:sz w:val="18"/>
          <w:szCs w:val="18"/>
        </w:rPr>
        <w:t>1、本期经营活动产生的现金流量净额为1,361,773,104.01元，减幅为-50.12%，主要系原料采购增加所致。 </w:t>
      </w:r>
    </w:p>
    <w:p w:rsidR="004F635D" w:rsidRPr="00E15F6D" w:rsidRDefault="00E15F6D" w:rsidP="00E15F6D">
      <w:pPr>
        <w:pStyle w:val="a3"/>
        <w:spacing w:before="0" w:beforeAutospacing="0" w:after="0" w:afterAutospacing="0"/>
        <w:divId w:val="1577518515"/>
        <w:rPr>
          <w:rFonts w:asciiTheme="minorEastAsia" w:eastAsiaTheme="minorEastAsia" w:hAnsiTheme="minorEastAsia"/>
          <w:sz w:val="18"/>
          <w:szCs w:val="18"/>
        </w:rPr>
      </w:pPr>
      <w:r>
        <w:rPr>
          <w:rFonts w:asciiTheme="minorEastAsia" w:eastAsiaTheme="minorEastAsia" w:hAnsiTheme="minorEastAsia" w:cs="Times New Roman"/>
          <w:sz w:val="18"/>
          <w:szCs w:val="18"/>
        </w:rPr>
        <w:t xml:space="preserve">    </w:t>
      </w:r>
      <w:r w:rsidRPr="00E15F6D">
        <w:rPr>
          <w:rFonts w:asciiTheme="minorEastAsia" w:eastAsiaTheme="minorEastAsia" w:hAnsiTheme="minorEastAsia" w:cs="Times New Roman"/>
          <w:sz w:val="18"/>
          <w:szCs w:val="18"/>
        </w:rPr>
        <w:t>2、本期投资活动产生的现金流量净额为-429,180,609.93元，增幅为37.96%，主要系理财投入增加所致。 </w:t>
      </w:r>
    </w:p>
    <w:p w:rsidR="004F635D" w:rsidRPr="00E15F6D" w:rsidRDefault="00E15F6D" w:rsidP="00E15F6D">
      <w:pPr>
        <w:pStyle w:val="a3"/>
        <w:spacing w:before="0" w:beforeAutospacing="0" w:after="0" w:afterAutospacing="0"/>
        <w:divId w:val="1577518515"/>
        <w:rPr>
          <w:rFonts w:asciiTheme="minorEastAsia" w:eastAsiaTheme="minorEastAsia" w:hAnsiTheme="minorEastAsia"/>
          <w:sz w:val="18"/>
          <w:szCs w:val="18"/>
        </w:rPr>
      </w:pPr>
      <w:r>
        <w:rPr>
          <w:rFonts w:asciiTheme="minorEastAsia" w:eastAsiaTheme="minorEastAsia" w:hAnsiTheme="minorEastAsia" w:cs="Times New Roman"/>
          <w:sz w:val="18"/>
          <w:szCs w:val="18"/>
        </w:rPr>
        <w:t xml:space="preserve">    </w:t>
      </w:r>
      <w:r w:rsidRPr="00E15F6D">
        <w:rPr>
          <w:rFonts w:asciiTheme="minorEastAsia" w:eastAsiaTheme="minorEastAsia" w:hAnsiTheme="minorEastAsia" w:cs="Times New Roman"/>
          <w:sz w:val="18"/>
          <w:szCs w:val="18"/>
        </w:rPr>
        <w:t>3、本期筹资活动产生的现金流量净额为-1,449,747,166.26元，减幅为-30.65%，主要系吸收投资减少所致。</w:t>
      </w:r>
    </w:p>
    <w:p w:rsidR="004F635D" w:rsidRPr="00E15F6D" w:rsidRDefault="00E15F6D" w:rsidP="00E15F6D">
      <w:pPr>
        <w:pStyle w:val="a3"/>
        <w:spacing w:before="0" w:beforeAutospacing="0" w:after="0" w:afterAutospacing="0"/>
        <w:divId w:val="1577518515"/>
        <w:rPr>
          <w:rFonts w:asciiTheme="minorEastAsia" w:eastAsiaTheme="minorEastAsia" w:hAnsiTheme="minorEastAsia"/>
          <w:sz w:val="18"/>
          <w:szCs w:val="18"/>
        </w:rPr>
      </w:pPr>
      <w:r>
        <w:rPr>
          <w:rFonts w:asciiTheme="minorEastAsia" w:eastAsiaTheme="minorEastAsia" w:hAnsiTheme="minorEastAsia" w:cs="Times New Roman"/>
          <w:sz w:val="18"/>
          <w:szCs w:val="18"/>
        </w:rPr>
        <w:t xml:space="preserve">    </w:t>
      </w:r>
      <w:r w:rsidRPr="00E15F6D">
        <w:rPr>
          <w:rFonts w:asciiTheme="minorEastAsia" w:eastAsiaTheme="minorEastAsia" w:hAnsiTheme="minorEastAsia" w:cs="Times New Roman"/>
          <w:sz w:val="18"/>
          <w:szCs w:val="18"/>
        </w:rPr>
        <w:t>4、本期汇率变动对现金及现金等价物的影响金额为26,172,400.78元，增幅为151.52%，主要系汇率变动所致。</w:t>
      </w:r>
    </w:p>
    <w:p w:rsidR="00A965E4" w:rsidRDefault="00E15F6D">
      <w:pPr>
        <w:pStyle w:val="headingh1"/>
        <w:spacing w:before="300" w:after="300" w:line="320" w:lineRule="exact"/>
        <w:rPr>
          <w:rFonts w:ascii="宋体" w:eastAsia="宋体" w:hAnsi="宋体" w:cs="宋体"/>
          <w:b/>
          <w:bCs/>
          <w:sz w:val="24"/>
          <w:szCs w:val="24"/>
        </w:rPr>
      </w:pPr>
      <w:bookmarkStart w:id="5" w:name="_Toc988893"/>
      <w:r>
        <w:rPr>
          <w:rFonts w:ascii="宋体" w:eastAsia="宋体" w:hAnsi="宋体" w:cs="宋体"/>
          <w:b/>
          <w:bCs/>
          <w:sz w:val="24"/>
          <w:szCs w:val="24"/>
        </w:rPr>
        <w:lastRenderedPageBreak/>
        <w:t xml:space="preserve">二、股东信息 </w:t>
      </w:r>
      <w:bookmarkEnd w:id="5"/>
    </w:p>
    <w:p w:rsidR="00A965E4" w:rsidRDefault="00E15F6D">
      <w:pPr>
        <w:pStyle w:val="2"/>
        <w:spacing w:before="300" w:after="300" w:line="280" w:lineRule="exact"/>
        <w:rPr>
          <w:rFonts w:ascii="宋体" w:eastAsia="宋体" w:hAnsi="宋体" w:cs="宋体"/>
          <w:b/>
          <w:bCs/>
        </w:rPr>
      </w:pPr>
      <w:bookmarkStart w:id="6" w:name="_Toc988894"/>
      <w:r>
        <w:rPr>
          <w:rFonts w:ascii="宋体" w:eastAsia="宋体" w:hAnsi="宋体" w:cs="宋体"/>
          <w:b/>
          <w:bCs/>
        </w:rPr>
        <w:t>（一） 普通股股东总数和表决权恢复的优先股股东数量及前十名股东持股情况表</w:t>
      </w:r>
      <w:bookmarkEnd w:id="6"/>
    </w:p>
    <w:p w:rsidR="00A965E4" w:rsidRDefault="00E15F6D">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754"/>
        <w:gridCol w:w="48"/>
        <w:gridCol w:w="1329"/>
        <w:gridCol w:w="230"/>
        <w:gridCol w:w="142"/>
        <w:gridCol w:w="850"/>
        <w:gridCol w:w="1276"/>
        <w:gridCol w:w="283"/>
        <w:gridCol w:w="851"/>
        <w:gridCol w:w="499"/>
        <w:gridCol w:w="68"/>
        <w:gridCol w:w="142"/>
        <w:gridCol w:w="1167"/>
      </w:tblGrid>
      <w:tr w:rsidR="00A965E4">
        <w:trPr>
          <w:trHeight w:val="240"/>
        </w:trPr>
        <w:tc>
          <w:tcPr>
            <w:tcW w:w="2754"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 xml:space="preserve">报告期末普通股股东总数 </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27,043</w:t>
            </w:r>
          </w:p>
        </w:tc>
        <w:tc>
          <w:tcPr>
            <w:tcW w:w="4131"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1377"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A965E4">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前10名股东持股情况</w:t>
            </w:r>
          </w:p>
        </w:tc>
      </w:tr>
      <w:tr w:rsidR="00A965E4" w:rsidTr="00E15F6D">
        <w:trPr>
          <w:trHeight w:val="240"/>
        </w:trPr>
        <w:tc>
          <w:tcPr>
            <w:tcW w:w="280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559"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1134"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87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质押、标记 或冻结情况</w:t>
            </w:r>
          </w:p>
        </w:tc>
      </w:tr>
      <w:tr w:rsidR="00A965E4" w:rsidTr="00E15F6D">
        <w:trPr>
          <w:trHeight w:val="240"/>
        </w:trPr>
        <w:tc>
          <w:tcPr>
            <w:tcW w:w="280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1559"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12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1134"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70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3.70%</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3.04%</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51,779,476</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2.79%</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47,467,704</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质押</w:t>
            </w: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杨三宝</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40,178,900</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境外法人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1.66%</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28,264,559</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国有法人</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1.41%</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上海景熙资产管理有限公司－景熙－长阳9号私募证券投资基金</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其他</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1.09%</w:t>
            </w:r>
          </w:p>
        </w:tc>
        <w:tc>
          <w:tcPr>
            <w:tcW w:w="1276"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18,603,386</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gridSpan w:val="3"/>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股东持股情况</w:t>
            </w:r>
          </w:p>
        </w:tc>
      </w:tr>
      <w:tr w:rsidR="00A965E4" w:rsidTr="00E15F6D">
        <w:trPr>
          <w:trHeight w:val="240"/>
        </w:trPr>
        <w:tc>
          <w:tcPr>
            <w:tcW w:w="4503"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2409"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股份数量</w:t>
            </w:r>
          </w:p>
        </w:tc>
        <w:tc>
          <w:tcPr>
            <w:tcW w:w="2727"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股份种类</w:t>
            </w:r>
          </w:p>
        </w:tc>
      </w:tr>
      <w:tr w:rsidR="00A965E4" w:rsidTr="00E15F6D">
        <w:trPr>
          <w:trHeight w:val="240"/>
        </w:trPr>
        <w:tc>
          <w:tcPr>
            <w:tcW w:w="4503"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2409"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141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30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520,705,950</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62,923,500</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51,779,476</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51,779,476</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47,467,704</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47,467,704</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杨三宝</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40,178,900</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40,178,900</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28,264,559</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28,264,559</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24,038,461</w:t>
            </w:r>
          </w:p>
        </w:tc>
      </w:tr>
      <w:tr w:rsidR="00A965E4" w:rsidTr="00E15F6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上海景熙资产管理有限公司－景熙－长阳9号私募证券投资基金</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18,603,386</w:t>
            </w:r>
          </w:p>
        </w:tc>
        <w:tc>
          <w:tcPr>
            <w:tcW w:w="1418" w:type="dxa"/>
            <w:gridSpan w:val="3"/>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2"/>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18,603,386</w:t>
            </w: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6837" w:type="dxa"/>
            <w:gridSpan w:val="11"/>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A965E4" w:rsidTr="00E15F6D">
        <w:trPr>
          <w:trHeight w:val="240"/>
        </w:trPr>
        <w:tc>
          <w:tcPr>
            <w:tcW w:w="280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前10名股东参与融资融券业务情况说明（如有）</w:t>
            </w:r>
          </w:p>
        </w:tc>
        <w:tc>
          <w:tcPr>
            <w:tcW w:w="6837" w:type="dxa"/>
            <w:gridSpan w:val="11"/>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华孚控股有限公司、安徽飞亚纺织有限公司及深圳市华人投资有限公司通过信用账户持有公司部分股份。</w:t>
            </w:r>
          </w:p>
        </w:tc>
      </w:tr>
    </w:tbl>
    <w:p w:rsidR="00A965E4" w:rsidRDefault="00E15F6D">
      <w:pPr>
        <w:pStyle w:val="2"/>
        <w:spacing w:before="300" w:after="300" w:line="280" w:lineRule="exact"/>
        <w:rPr>
          <w:rFonts w:ascii="宋体" w:eastAsia="宋体" w:hAnsi="宋体" w:cs="宋体"/>
          <w:b/>
          <w:bCs/>
        </w:rPr>
      </w:pPr>
      <w:bookmarkStart w:id="7" w:name="_Toc988895"/>
      <w:r>
        <w:rPr>
          <w:rFonts w:ascii="宋体" w:eastAsia="宋体" w:hAnsi="宋体" w:cs="宋体"/>
          <w:b/>
          <w:bCs/>
        </w:rPr>
        <w:t>（二） 公司优先股股东总数及前10名优先股股东持股情况表</w:t>
      </w:r>
      <w:bookmarkEnd w:id="7"/>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A965E4" w:rsidRDefault="00E15F6D">
      <w:pPr>
        <w:pStyle w:val="headingh1"/>
        <w:spacing w:before="300" w:after="300" w:line="320" w:lineRule="exact"/>
        <w:rPr>
          <w:rFonts w:ascii="宋体" w:eastAsia="宋体" w:hAnsi="宋体" w:cs="宋体"/>
          <w:b/>
          <w:bCs/>
          <w:sz w:val="24"/>
          <w:szCs w:val="24"/>
        </w:rPr>
      </w:pPr>
      <w:bookmarkStart w:id="8" w:name="_Toc988896"/>
      <w:r>
        <w:rPr>
          <w:rFonts w:ascii="宋体" w:eastAsia="宋体" w:hAnsi="宋体" w:cs="宋体"/>
          <w:b/>
          <w:bCs/>
          <w:sz w:val="24"/>
          <w:szCs w:val="24"/>
        </w:rPr>
        <w:lastRenderedPageBreak/>
        <w:t>三、其他重要事项</w:t>
      </w:r>
      <w:bookmarkEnd w:id="8"/>
    </w:p>
    <w:p w:rsidR="00A965E4" w:rsidRDefault="00E15F6D">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4F635D" w:rsidRDefault="00E15F6D" w:rsidP="00E15F6D">
      <w:pPr>
        <w:pStyle w:val="a3"/>
        <w:spacing w:before="0" w:beforeAutospacing="0" w:after="0" w:afterAutospacing="0"/>
        <w:ind w:firstLine="340"/>
        <w:divId w:val="495918223"/>
        <w:rPr>
          <w:rFonts w:ascii="Times New Roman" w:hAnsi="Times New Roman" w:cs="Times New Roman"/>
        </w:rPr>
      </w:pPr>
      <w:r>
        <w:rPr>
          <w:rFonts w:cs="Times New Roman" w:hint="eastAsia"/>
          <w:color w:val="000000"/>
          <w:sz w:val="18"/>
          <w:szCs w:val="18"/>
        </w:rPr>
        <w:t>1.股份回购的实施进展情况</w:t>
      </w:r>
    </w:p>
    <w:p w:rsidR="004F635D" w:rsidRDefault="00E15F6D" w:rsidP="00E15F6D">
      <w:pPr>
        <w:pStyle w:val="a3"/>
        <w:spacing w:before="0" w:beforeAutospacing="0" w:after="0" w:afterAutospacing="0"/>
        <w:ind w:firstLine="340"/>
        <w:divId w:val="495918223"/>
        <w:rPr>
          <w:rFonts w:ascii="Times New Roman" w:hAnsi="Times New Roman" w:cs="Times New Roman"/>
        </w:rPr>
      </w:pPr>
      <w:r>
        <w:rPr>
          <w:rFonts w:cs="Times New Roman" w:hint="eastAsia"/>
          <w:color w:val="000000"/>
          <w:sz w:val="18"/>
          <w:szCs w:val="18"/>
        </w:rPr>
        <w:t>公司于2022年3月21日召开第八届董事会2022年第二次临时会议审议通过《</w:t>
      </w:r>
      <w:r>
        <w:rPr>
          <w:rFonts w:cs="Times New Roman" w:hint="eastAsia"/>
          <w:sz w:val="18"/>
          <w:szCs w:val="18"/>
        </w:rPr>
        <w:t>关于回购公司股份方案的议案</w:t>
      </w:r>
      <w:r>
        <w:rPr>
          <w:rFonts w:cs="Times New Roman" w:hint="eastAsia"/>
          <w:color w:val="000000"/>
          <w:sz w:val="18"/>
          <w:szCs w:val="18"/>
        </w:rPr>
        <w:t>》，公司</w:t>
      </w:r>
      <w:r>
        <w:rPr>
          <w:rFonts w:cs="Times New Roman" w:hint="eastAsia"/>
          <w:sz w:val="18"/>
          <w:szCs w:val="18"/>
        </w:rPr>
        <w:t>拟使用自有资金以集中竞价交易方式回购已发行的人民币普通股（A股）股份，回购股</w:t>
      </w:r>
      <w:proofErr w:type="gramStart"/>
      <w:r>
        <w:rPr>
          <w:rFonts w:cs="Times New Roman" w:hint="eastAsia"/>
          <w:sz w:val="18"/>
          <w:szCs w:val="18"/>
        </w:rPr>
        <w:t>份用于</w:t>
      </w:r>
      <w:proofErr w:type="gramEnd"/>
      <w:r>
        <w:rPr>
          <w:rFonts w:cs="Times New Roman" w:hint="eastAsia"/>
          <w:sz w:val="18"/>
          <w:szCs w:val="18"/>
        </w:rPr>
        <w:t>公司后续员工持股计划或者股权激励。回购总金额为不低于人民币5,000万元,不超过人民币10,000万元，回购价格不超过6.50元/股，回购股份的实施期限为自董事会审议通过本次回购股</w:t>
      </w:r>
      <w:proofErr w:type="gramStart"/>
      <w:r>
        <w:rPr>
          <w:rFonts w:cs="Times New Roman" w:hint="eastAsia"/>
          <w:sz w:val="18"/>
          <w:szCs w:val="18"/>
        </w:rPr>
        <w:t>份方案</w:t>
      </w:r>
      <w:proofErr w:type="gramEnd"/>
      <w:r>
        <w:rPr>
          <w:rFonts w:cs="Times New Roman" w:hint="eastAsia"/>
          <w:sz w:val="18"/>
          <w:szCs w:val="18"/>
        </w:rPr>
        <w:t>之日起不超过十二个月。具体情况</w:t>
      </w:r>
      <w:r>
        <w:rPr>
          <w:rFonts w:cs="Times New Roman" w:hint="eastAsia"/>
          <w:color w:val="000000"/>
          <w:sz w:val="18"/>
          <w:szCs w:val="18"/>
        </w:rPr>
        <w:t>详见公司于2022年3月22日刊登在《中国证券报》、《证券时报》及巨潮资讯网</w:t>
      </w:r>
      <w:r>
        <w:rPr>
          <w:rFonts w:cs="Times New Roman" w:hint="eastAsia"/>
          <w:sz w:val="18"/>
          <w:szCs w:val="18"/>
        </w:rPr>
        <w:t>（</w:t>
      </w:r>
      <w:proofErr w:type="spellStart"/>
      <w:r>
        <w:rPr>
          <w:rFonts w:cs="Times New Roman" w:hint="eastAsia"/>
          <w:sz w:val="18"/>
          <w:szCs w:val="18"/>
        </w:rPr>
        <w:t>www.cninfo.com.cn</w:t>
      </w:r>
      <w:proofErr w:type="spellEnd"/>
      <w:r>
        <w:rPr>
          <w:rFonts w:cs="Times New Roman" w:hint="eastAsia"/>
          <w:color w:val="000000"/>
          <w:sz w:val="18"/>
          <w:szCs w:val="18"/>
        </w:rPr>
        <w:t>）上的</w:t>
      </w:r>
      <w:r>
        <w:rPr>
          <w:rFonts w:cs="Times New Roman" w:hint="eastAsia"/>
          <w:sz w:val="18"/>
          <w:szCs w:val="18"/>
        </w:rPr>
        <w:t>《关于回购公司股份方案的公告》（2022-13）</w:t>
      </w:r>
      <w:r>
        <w:rPr>
          <w:rFonts w:cs="Times New Roman" w:hint="eastAsia"/>
          <w:color w:val="000000"/>
          <w:sz w:val="18"/>
          <w:szCs w:val="18"/>
        </w:rPr>
        <w:t>。 </w:t>
      </w:r>
    </w:p>
    <w:p w:rsidR="004F635D" w:rsidRDefault="00E15F6D" w:rsidP="00E15F6D">
      <w:pPr>
        <w:pStyle w:val="a3"/>
        <w:spacing w:before="0" w:beforeAutospacing="0" w:after="0" w:afterAutospacing="0"/>
        <w:ind w:firstLine="340"/>
        <w:divId w:val="495918223"/>
        <w:rPr>
          <w:rFonts w:ascii="Times New Roman" w:hAnsi="Times New Roman" w:cs="Times New Roman"/>
        </w:rPr>
      </w:pPr>
      <w:r>
        <w:rPr>
          <w:rFonts w:cs="Times New Roman" w:hint="eastAsia"/>
          <w:color w:val="000000"/>
          <w:sz w:val="18"/>
          <w:szCs w:val="18"/>
        </w:rPr>
        <w:t>公司自2022年4月28日首次回购之日起至2022年9月30日，通过股份回购专用证券账户以集中竞价方式回购股份数量13,024,600股，占公司目前总股本的0.77%。最高成交价格3.67元/股，最低成交价格3.52元/股，成交总金额为46,967,927.00元（不含手续费），本次回购符合公司回购股</w:t>
      </w:r>
      <w:proofErr w:type="gramStart"/>
      <w:r>
        <w:rPr>
          <w:rFonts w:cs="Times New Roman" w:hint="eastAsia"/>
          <w:color w:val="000000"/>
          <w:sz w:val="18"/>
          <w:szCs w:val="18"/>
        </w:rPr>
        <w:t>份方案</w:t>
      </w:r>
      <w:proofErr w:type="gramEnd"/>
      <w:r>
        <w:rPr>
          <w:rFonts w:cs="Times New Roman" w:hint="eastAsia"/>
          <w:color w:val="000000"/>
          <w:sz w:val="18"/>
          <w:szCs w:val="18"/>
        </w:rPr>
        <w:t>及相关法律法规的要求。具体情况</w:t>
      </w:r>
      <w:proofErr w:type="gramStart"/>
      <w:r>
        <w:rPr>
          <w:rFonts w:cs="Times New Roman" w:hint="eastAsia"/>
          <w:color w:val="000000"/>
          <w:sz w:val="18"/>
          <w:szCs w:val="18"/>
        </w:rPr>
        <w:t>详</w:t>
      </w:r>
      <w:proofErr w:type="gramEnd"/>
      <w:r>
        <w:rPr>
          <w:rFonts w:cs="Times New Roman" w:hint="eastAsia"/>
          <w:color w:val="000000"/>
          <w:sz w:val="18"/>
          <w:szCs w:val="18"/>
        </w:rPr>
        <w:t>见于公司于2022年10月11日刊登在《中国证券报》、《证券时报》及巨潮资讯网（</w:t>
      </w:r>
      <w:proofErr w:type="spellStart"/>
      <w:r>
        <w:rPr>
          <w:rFonts w:cs="Times New Roman" w:hint="eastAsia"/>
          <w:color w:val="000000"/>
          <w:sz w:val="18"/>
          <w:szCs w:val="18"/>
        </w:rPr>
        <w:t>www.cninfo.com.cn</w:t>
      </w:r>
      <w:proofErr w:type="spellEnd"/>
      <w:r>
        <w:rPr>
          <w:rFonts w:cs="Times New Roman" w:hint="eastAsia"/>
          <w:color w:val="000000"/>
          <w:sz w:val="18"/>
          <w:szCs w:val="18"/>
        </w:rPr>
        <w:t>）上的《关于回购公司股份进展的公告》（2022-56）。</w:t>
      </w:r>
    </w:p>
    <w:p w:rsidR="00A965E4" w:rsidRDefault="00E15F6D">
      <w:pPr>
        <w:pStyle w:val="headingh1"/>
        <w:spacing w:before="300" w:after="300" w:line="320" w:lineRule="exact"/>
        <w:rPr>
          <w:rFonts w:ascii="宋体" w:eastAsia="宋体" w:hAnsi="宋体" w:cs="宋体"/>
          <w:b/>
          <w:bCs/>
          <w:sz w:val="24"/>
          <w:szCs w:val="24"/>
        </w:rPr>
      </w:pPr>
      <w:bookmarkStart w:id="9" w:name="_Toc988897"/>
      <w:r>
        <w:rPr>
          <w:rFonts w:ascii="宋体" w:eastAsia="宋体" w:hAnsi="宋体" w:cs="宋体"/>
          <w:b/>
          <w:bCs/>
          <w:sz w:val="24"/>
          <w:szCs w:val="24"/>
        </w:rPr>
        <w:t>四、季度财务报表</w:t>
      </w:r>
      <w:bookmarkEnd w:id="9"/>
    </w:p>
    <w:p w:rsidR="00A965E4" w:rsidRDefault="00E15F6D">
      <w:pPr>
        <w:pStyle w:val="2"/>
        <w:spacing w:before="300" w:after="300" w:line="280" w:lineRule="exact"/>
        <w:rPr>
          <w:rFonts w:ascii="宋体" w:eastAsia="宋体" w:hAnsi="宋体" w:cs="宋体"/>
          <w:b/>
          <w:bCs/>
        </w:rPr>
      </w:pPr>
      <w:bookmarkStart w:id="10" w:name="_Toc988898"/>
      <w:r>
        <w:rPr>
          <w:rFonts w:ascii="宋体" w:eastAsia="宋体" w:hAnsi="宋体" w:cs="宋体"/>
          <w:b/>
          <w:bCs/>
        </w:rPr>
        <w:t>（一） 财务报表</w:t>
      </w:r>
      <w:bookmarkEnd w:id="10"/>
    </w:p>
    <w:p w:rsidR="00A965E4" w:rsidRDefault="00E15F6D">
      <w:pPr>
        <w:pStyle w:val="3"/>
        <w:spacing w:line="280" w:lineRule="exact"/>
        <w:jc w:val="left"/>
        <w:rPr>
          <w:rFonts w:ascii="宋体" w:hAnsi="宋体" w:cs="宋体"/>
          <w:b/>
          <w:bCs/>
        </w:rPr>
      </w:pPr>
      <w:bookmarkStart w:id="11" w:name="_Toc988899"/>
      <w:r>
        <w:rPr>
          <w:rFonts w:ascii="宋体" w:hAnsi="宋体" w:cs="宋体"/>
          <w:b/>
          <w:bCs/>
        </w:rPr>
        <w:t>1、合并资产负债表</w:t>
      </w:r>
      <w:bookmarkEnd w:id="11"/>
    </w:p>
    <w:p w:rsidR="00A965E4" w:rsidRDefault="00E15F6D">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2022年09月30日</w:t>
      </w:r>
    </w:p>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2022年9月30日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2022年1月1日</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3,260,511,391.16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3,372,047,451.72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953,424,020.08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616,725,654.58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145,510,392.20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76,426,665.25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917,624,257.83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921,916,655.19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804,610,004.21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606,832,949.18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395,692,263.96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403,377,393.22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4,343,617,901.36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6,560,654,772.15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1,426,696.10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1,426,696.10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113,136,000.51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283,862,836.17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10,935,552,927.41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12,843,271,073.56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4,091,636.49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3,877,625.34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343,699,349.19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303,919,973.14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80,269,353.41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77,564,736.48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93,138,265.83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96,853,670.97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4,985,927,154.64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4,995,104,339.76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339,945,098.07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428,513,202.25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23,742,201.95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30,467,189.65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892,540,230.87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939,007,447.73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35,843,951.46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42,930,164.11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118,958,401.75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139,061,967.53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60,793,606.93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80,128,182.87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7,136,435,546.08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7,294,914,795.32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18,071,988,473.49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20,138,185,868.88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7,592,580,116.07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8,426,746,489.54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115,379,104.83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206,404,734.39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990,976,405.02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828,339,134.62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7,698,328.73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6,505,048.15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339,067,409.86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1,143,739,643.08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58,345,542.39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89,111,887.02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48,265,015.61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178,434,429.26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244,386,594.90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264,569,603.41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154,054,743.36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256,240,257.89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145,313,722.14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180,946,990.38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9,696,066,982.91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11,581,038,217.74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696,518,973.62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882,631,818.00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21,914,150.18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23,381,798.95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2,950,020.00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3,100,838.22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92,553,501.88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86,189,995.45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29,454,497.32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29,106,931.25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847,758,281.45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1,028,778,520.32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10,543,825,264.36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12,609,816,738.06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2,770,324,610.94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2,771,248,631.27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-814,370.24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-52,730,766.82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255,624,670.66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2,323,077,149.51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7,001,919,055.95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7,009,197,204.12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526,244,153.18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519,171,926.70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7,528,163,209.13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18,071,988,473.49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20,138,185,868.88</w:t>
            </w:r>
          </w:p>
        </w:tc>
      </w:tr>
    </w:tbl>
    <w:p w:rsidR="00A965E4" w:rsidRDefault="00E15F6D">
      <w:pPr>
        <w:spacing w:line="240" w:lineRule="exact"/>
        <w:rPr>
          <w:rFonts w:ascii="宋体" w:eastAsia="宋体" w:hAnsi="宋体" w:cs="宋体"/>
          <w:sz w:val="18"/>
          <w:szCs w:val="18"/>
        </w:rPr>
      </w:pPr>
      <w:r>
        <w:rPr>
          <w:rFonts w:ascii="宋体" w:eastAsia="宋体" w:hAnsi="宋体" w:cs="宋体"/>
          <w:sz w:val="18"/>
          <w:szCs w:val="18"/>
        </w:rPr>
        <w:t>法定代表人：孙伟挺    主管会计工作负责人：</w:t>
      </w:r>
      <w:proofErr w:type="gramStart"/>
      <w:r>
        <w:rPr>
          <w:rFonts w:ascii="宋体" w:eastAsia="宋体" w:hAnsi="宋体" w:cs="宋体"/>
          <w:sz w:val="18"/>
          <w:szCs w:val="18"/>
        </w:rPr>
        <w:t>陈玲芬</w:t>
      </w:r>
      <w:proofErr w:type="gramEnd"/>
      <w:r>
        <w:rPr>
          <w:rFonts w:ascii="宋体" w:eastAsia="宋体" w:hAnsi="宋体" w:cs="宋体"/>
          <w:sz w:val="18"/>
          <w:szCs w:val="18"/>
        </w:rPr>
        <w:t xml:space="preserve">      会计机构负责人：王国友</w:t>
      </w:r>
    </w:p>
    <w:p w:rsidR="00A965E4" w:rsidRDefault="00E15F6D">
      <w:pPr>
        <w:pStyle w:val="3"/>
        <w:spacing w:line="280" w:lineRule="exact"/>
        <w:jc w:val="left"/>
        <w:rPr>
          <w:rFonts w:ascii="宋体" w:hAnsi="宋体" w:cs="宋体"/>
          <w:b/>
          <w:bCs/>
        </w:rPr>
      </w:pPr>
      <w:bookmarkStart w:id="12" w:name="_Toc988900"/>
      <w:r>
        <w:rPr>
          <w:rFonts w:ascii="宋体" w:hAnsi="宋体" w:cs="宋体"/>
          <w:b/>
          <w:bCs/>
        </w:rPr>
        <w:t>2、合并年初到报告</w:t>
      </w:r>
      <w:proofErr w:type="gramStart"/>
      <w:r>
        <w:rPr>
          <w:rFonts w:ascii="宋体" w:hAnsi="宋体" w:cs="宋体"/>
          <w:b/>
          <w:bCs/>
        </w:rPr>
        <w:t>期末利润</w:t>
      </w:r>
      <w:proofErr w:type="gramEnd"/>
      <w:r>
        <w:rPr>
          <w:rFonts w:ascii="宋体" w:hAnsi="宋体" w:cs="宋体"/>
          <w:b/>
          <w:bCs/>
        </w:rPr>
        <w:t>表</w:t>
      </w:r>
      <w:bookmarkEnd w:id="12"/>
    </w:p>
    <w:p w:rsidR="00A965E4" w:rsidRDefault="00E15F6D">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13,301,559,301.89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12,715,146,203.86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13,301,559,301.89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12,715,146,203.86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13,060,966,118.34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12,366,525,635.08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12,331,506,506.41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11,670,052,880.48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46,799,595.39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45,389,481.29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100,196,527.18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85,583,958.33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284,112,238.67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273,778,146.78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108,247,523.96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87,826,169.42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190,103,726.73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203,894,998.78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208,669,556.19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214,252,422.32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-29,510,958.86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-12,397,940.34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30,830,547.16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30,951,611.49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-27,063,369.37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28,054,864.47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lastRenderedPageBreak/>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-3,189,078.16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-23,212,673.72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9,998,323.07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-15,665,308.44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-10,332,069.40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54,349,513.26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11,284,895.10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50,557,293.82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62,435,390.30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310,389,186.26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481,013,583.81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25,991,088.14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25,648,843.98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2,634,018.28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10,430,795.28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333,746,256.12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496,231,632.51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31,023,485.19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32,037,889.71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302,722,770.93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464,193,742.80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302,722,770.93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464,193,742.80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300,550,544.45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445,329,778.41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2,172,226.48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18,863,964.39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51,916,396.58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-13,586,930.98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51,916,396.58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-13,586,930.98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2,319,616.93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-111,210.39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2,319,616.93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-111,210.39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49,596,779.65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-13,475,720.59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w:t>
            </w:r>
            <w:r>
              <w:rPr>
                <w:rFonts w:ascii="宋体" w:eastAsia="宋体" w:hAnsi="宋体" w:cs="宋体"/>
                <w:sz w:val="18"/>
                <w:szCs w:val="18"/>
              </w:rPr>
              <w:lastRenderedPageBreak/>
              <w:t>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49,596,779.65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-13,475,720.59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354,639,167.51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450,606,811.82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（一）归属于母公司所有者的综合收益总额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352,466,941.03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431,742,847.43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（二）归属于少数股东的综合收益总额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2,172,226.48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18,863,964.39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0.18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0.25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0.18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0.25</w:t>
            </w:r>
          </w:p>
        </w:tc>
      </w:tr>
    </w:tbl>
    <w:p w:rsidR="00A965E4" w:rsidRDefault="00E15F6D">
      <w:pPr>
        <w:spacing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A965E4" w:rsidRDefault="00E15F6D">
      <w:pPr>
        <w:spacing w:line="240" w:lineRule="exact"/>
        <w:rPr>
          <w:rFonts w:ascii="宋体" w:eastAsia="宋体" w:hAnsi="宋体" w:cs="宋体"/>
          <w:sz w:val="18"/>
          <w:szCs w:val="18"/>
        </w:rPr>
      </w:pPr>
      <w:r>
        <w:rPr>
          <w:rFonts w:ascii="宋体" w:eastAsia="宋体" w:hAnsi="宋体" w:cs="宋体"/>
          <w:sz w:val="18"/>
          <w:szCs w:val="18"/>
        </w:rPr>
        <w:t>法定代表人：孙伟挺    主管会计工作负责人：</w:t>
      </w:r>
      <w:proofErr w:type="gramStart"/>
      <w:r>
        <w:rPr>
          <w:rFonts w:ascii="宋体" w:eastAsia="宋体" w:hAnsi="宋体" w:cs="宋体"/>
          <w:sz w:val="18"/>
          <w:szCs w:val="18"/>
        </w:rPr>
        <w:t>陈玲芬</w:t>
      </w:r>
      <w:proofErr w:type="gramEnd"/>
      <w:r>
        <w:rPr>
          <w:rFonts w:ascii="宋体" w:eastAsia="宋体" w:hAnsi="宋体" w:cs="宋体"/>
          <w:sz w:val="18"/>
          <w:szCs w:val="18"/>
        </w:rPr>
        <w:t xml:space="preserve">    会计机构负责人：王国友</w:t>
      </w:r>
    </w:p>
    <w:p w:rsidR="00A965E4" w:rsidRDefault="00E15F6D">
      <w:pPr>
        <w:pStyle w:val="3"/>
        <w:spacing w:line="280" w:lineRule="exact"/>
        <w:jc w:val="left"/>
        <w:rPr>
          <w:rFonts w:ascii="宋体" w:hAnsi="宋体" w:cs="宋体"/>
          <w:b/>
          <w:bCs/>
        </w:rPr>
      </w:pPr>
      <w:bookmarkStart w:id="13" w:name="_Toc988901"/>
      <w:r>
        <w:rPr>
          <w:rFonts w:ascii="宋体" w:hAnsi="宋体" w:cs="宋体"/>
          <w:b/>
          <w:bCs/>
        </w:rPr>
        <w:t>3、合并年初到报告期末现金流量表</w:t>
      </w:r>
      <w:bookmarkEnd w:id="13"/>
    </w:p>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12,804,440,783.08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13,536,545,997.03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145,717,586.52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47,161,031.08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887,571,894.39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236,529,979.67</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13,837,730,263.99</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13,820,237,007.78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10,447,308,073.21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9,976,245,403.21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751,972,156.26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663,888,055.19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316,110,201.45</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196,176,616.14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960,566,729.06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253,587,840.38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12,475,957,159.98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11,089,897,914.92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1,361,773,104.01</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2,730,339,092.86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101,281,738.68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39,909,638.28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21,365,477.00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32,912,662.30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34,392,000.00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55,188,693.92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841,251,742.96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202,743,492.31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998,290,958.64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330,754,486.81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139,925,939.34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93,757,772.26</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143,586,176.00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152,259,573.03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1,143,959,453.23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776,484,141.75</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1,427,471,568.57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1,022,501,487.04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-429,180,609.93</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-691,747,000.23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A965E4"/>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4,900,000.00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1,130,439,953.60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7,992,248,927.72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8,175,618,113.59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274,464,430.62</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56,006,125.74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8,271,613,358.34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9,362,064,192.93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8,262,345,724.27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9,934,755,372.28</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748,783,937.07</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280,679,801.43</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A965E4">
            <w:pPr>
              <w:spacing w:line="240" w:lineRule="exact"/>
              <w:jc w:val="right"/>
              <w:rPr>
                <w:rFonts w:ascii="宋体" w:eastAsia="宋体" w:hAnsi="宋体" w:cs="宋体"/>
                <w:sz w:val="18"/>
                <w:szCs w:val="18"/>
              </w:rPr>
            </w:pP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710,230,863.26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256,272,397.51</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9,721,360,524.60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10,471,707,571.22</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-1,449,747,166.26</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-1,109,643,378.29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26,172,400.78</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-50,800,909.20</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-490,982,271.40</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878,147,805.14</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2,395,731,098.44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2,064,961,873.19</w:t>
            </w:r>
          </w:p>
        </w:tc>
      </w:tr>
      <w:tr w:rsidR="00A965E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A965E4" w:rsidRDefault="00E15F6D">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1,904,748,827.04</w:t>
            </w:r>
          </w:p>
        </w:tc>
        <w:tc>
          <w:tcPr>
            <w:tcW w:w="3213" w:type="dxa"/>
            <w:tcBorders>
              <w:top w:val="single" w:sz="2" w:space="0" w:color="auto"/>
              <w:left w:val="single" w:sz="2" w:space="0" w:color="auto"/>
              <w:bottom w:val="single" w:sz="2" w:space="0" w:color="auto"/>
              <w:right w:val="single" w:sz="2" w:space="0" w:color="auto"/>
            </w:tcBorders>
            <w:vAlign w:val="center"/>
          </w:tcPr>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2,943,109,678.33</w:t>
            </w:r>
          </w:p>
        </w:tc>
      </w:tr>
    </w:tbl>
    <w:p w:rsidR="00A965E4" w:rsidRDefault="00E15F6D">
      <w:pPr>
        <w:pStyle w:val="2"/>
        <w:spacing w:before="300" w:after="300" w:line="280" w:lineRule="exact"/>
        <w:rPr>
          <w:rFonts w:ascii="宋体" w:eastAsia="宋体" w:hAnsi="宋体" w:cs="宋体"/>
          <w:b/>
          <w:bCs/>
          <w:sz w:val="25"/>
          <w:szCs w:val="25"/>
        </w:rPr>
      </w:pPr>
      <w:bookmarkStart w:id="14" w:name="_Toc988902"/>
      <w:r>
        <w:rPr>
          <w:rFonts w:ascii="宋体" w:eastAsia="宋体" w:hAnsi="宋体" w:cs="宋体"/>
          <w:b/>
          <w:bCs/>
          <w:sz w:val="25"/>
          <w:szCs w:val="25"/>
        </w:rPr>
        <w:t>（二） 审计报告</w:t>
      </w:r>
      <w:bookmarkEnd w:id="14"/>
    </w:p>
    <w:p w:rsidR="00A965E4" w:rsidRDefault="00E15F6D">
      <w:pPr>
        <w:spacing w:before="40" w:after="40" w:line="240" w:lineRule="exact"/>
        <w:rPr>
          <w:rFonts w:ascii="宋体" w:eastAsia="宋体" w:hAnsi="宋体" w:cs="宋体"/>
          <w:sz w:val="18"/>
          <w:szCs w:val="18"/>
        </w:rPr>
      </w:pPr>
      <w:r>
        <w:rPr>
          <w:rFonts w:ascii="宋体" w:eastAsia="宋体" w:hAnsi="宋体" w:cs="宋体"/>
          <w:sz w:val="18"/>
          <w:szCs w:val="18"/>
        </w:rPr>
        <w:t>第三季度报告是否经过审计</w:t>
      </w:r>
    </w:p>
    <w:p w:rsidR="00A965E4" w:rsidRDefault="00E15F6D">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A965E4" w:rsidRDefault="00E15F6D">
      <w:pPr>
        <w:spacing w:before="40" w:after="40" w:line="240" w:lineRule="exact"/>
        <w:rPr>
          <w:rFonts w:ascii="宋体" w:eastAsia="宋体" w:hAnsi="宋体" w:cs="宋体"/>
          <w:sz w:val="18"/>
          <w:szCs w:val="18"/>
        </w:rPr>
      </w:pPr>
      <w:r>
        <w:rPr>
          <w:rFonts w:ascii="宋体" w:eastAsia="宋体" w:hAnsi="宋体" w:cs="宋体"/>
          <w:sz w:val="18"/>
          <w:szCs w:val="18"/>
        </w:rPr>
        <w:t>公司第三季度报告未经审计。</w:t>
      </w:r>
    </w:p>
    <w:p w:rsidR="00A965E4" w:rsidRDefault="00E15F6D">
      <w:pPr>
        <w:spacing w:before="40" w:after="40" w:line="240" w:lineRule="exact"/>
        <w:jc w:val="right"/>
        <w:rPr>
          <w:rFonts w:ascii="宋体" w:eastAsia="宋体" w:hAnsi="宋体" w:cs="宋体"/>
          <w:sz w:val="18"/>
          <w:szCs w:val="18"/>
        </w:rPr>
      </w:pPr>
      <w:r>
        <w:rPr>
          <w:rFonts w:ascii="宋体" w:eastAsia="宋体" w:hAnsi="宋体" w:cs="宋体"/>
          <w:sz w:val="18"/>
          <w:szCs w:val="18"/>
        </w:rPr>
        <w:t>华孚时尚股份有限公司董事会</w:t>
      </w:r>
    </w:p>
    <w:p w:rsidR="00A965E4" w:rsidRDefault="00E15F6D">
      <w:pPr>
        <w:spacing w:line="240" w:lineRule="exact"/>
        <w:jc w:val="right"/>
        <w:rPr>
          <w:rFonts w:ascii="宋体" w:eastAsia="宋体" w:hAnsi="宋体" w:cs="宋体"/>
          <w:sz w:val="18"/>
          <w:szCs w:val="18"/>
        </w:rPr>
      </w:pPr>
      <w:r>
        <w:rPr>
          <w:rFonts w:ascii="宋体" w:eastAsia="宋体" w:hAnsi="宋体" w:cs="宋体"/>
          <w:sz w:val="18"/>
          <w:szCs w:val="18"/>
        </w:rPr>
        <w:t>2022年10月29日</w:t>
      </w:r>
    </w:p>
    <w:sectPr w:rsidR="00A965E4">
      <w:headerReference w:type="default" r:id="rId7"/>
      <w:footerReference w:type="default" r:id="rId8"/>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35D" w:rsidRDefault="00E15F6D">
      <w:r>
        <w:separator/>
      </w:r>
    </w:p>
  </w:endnote>
  <w:endnote w:type="continuationSeparator" w:id="0">
    <w:p w:rsidR="004F635D" w:rsidRDefault="00E1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5E4" w:rsidRDefault="00E15F6D">
    <w:pPr>
      <w:pStyle w:val="fotter1"/>
    </w:pPr>
    <w:r>
      <w:fldChar w:fldCharType="begin"/>
    </w:r>
    <w:r>
      <w:instrText>PAGE   \* MERGEFORMAT</w:instrText>
    </w:r>
    <w:r>
      <w:fldChar w:fldCharType="separate"/>
    </w:r>
    <w:r w:rsidR="00B42D1A">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35D" w:rsidRDefault="00E15F6D">
      <w:r>
        <w:separator/>
      </w:r>
    </w:p>
  </w:footnote>
  <w:footnote w:type="continuationSeparator" w:id="0">
    <w:p w:rsidR="004F635D" w:rsidRDefault="00E15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5E4" w:rsidRDefault="00E15F6D">
    <w:pPr>
      <w:pStyle w:val="Header1"/>
      <w:pBdr>
        <w:bottom w:val="single" w:sz="6" w:space="1" w:color="auto"/>
      </w:pBdr>
    </w:pPr>
    <w:r>
      <w:t>华孚时尚股份有限公司2022年第三季度报告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965E4"/>
    <w:rsid w:val="004F635D"/>
    <w:rsid w:val="00A965E4"/>
    <w:rsid w:val="00B42D1A"/>
    <w:rsid w:val="00CC2814"/>
    <w:rsid w:val="00E15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918223">
      <w:bodyDiv w:val="1"/>
      <w:marLeft w:val="0"/>
      <w:marRight w:val="0"/>
      <w:marTop w:val="0"/>
      <w:marBottom w:val="0"/>
      <w:divBdr>
        <w:top w:val="none" w:sz="0" w:space="0" w:color="auto"/>
        <w:left w:val="none" w:sz="0" w:space="0" w:color="auto"/>
        <w:bottom w:val="none" w:sz="0" w:space="0" w:color="auto"/>
        <w:right w:val="none" w:sz="0" w:space="0" w:color="auto"/>
      </w:divBdr>
    </w:div>
    <w:div w:id="1577518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10</Pages>
  <Words>1760</Words>
  <Characters>10034</Characters>
  <Application>Microsoft Office Word</Application>
  <DocSecurity>0</DocSecurity>
  <Lines>83</Lines>
  <Paragraphs>23</Paragraphs>
  <ScaleCrop>false</ScaleCrop>
  <Company/>
  <LinksUpToDate>false</LinksUpToDate>
  <CharactersWithSpaces>11771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孙献</cp:lastModifiedBy>
  <cp:revision>4</cp:revision>
  <dcterms:created xsi:type="dcterms:W3CDTF">2022-10-27T09:36:00Z</dcterms:created>
  <dcterms:modified xsi:type="dcterms:W3CDTF">2022-10-28T01:19:00Z</dcterms:modified>
</cp:coreProperties>
</file>