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3BD" w:rsidRDefault="00FF4227">
      <w:pPr>
        <w:spacing w:before="200" w:after="1000" w:line="560" w:lineRule="exact"/>
        <w:jc w:val="center"/>
        <w:rPr>
          <w:rFonts w:ascii="宋体" w:hAnsi="宋体" w:cs="宋体"/>
          <w:sz w:val="18"/>
          <w:szCs w:val="18"/>
        </w:rPr>
      </w:pPr>
      <w:r>
        <w:rPr>
          <w:rFonts w:ascii="宋体" w:hAnsi="宋体" w:cs="宋体"/>
          <w:sz w:val="18"/>
          <w:szCs w:val="18"/>
        </w:rPr>
        <w:t xml:space="preserve">证券代码：002042        </w:t>
      </w:r>
      <w:r w:rsidR="00B63CEC">
        <w:rPr>
          <w:rFonts w:ascii="宋体" w:hAnsi="宋体" w:cs="宋体" w:hint="eastAsia"/>
          <w:sz w:val="18"/>
          <w:szCs w:val="18"/>
        </w:rPr>
        <w:t xml:space="preserve">       </w:t>
      </w:r>
      <w:r>
        <w:rPr>
          <w:rFonts w:ascii="宋体" w:hAnsi="宋体" w:cs="宋体"/>
          <w:sz w:val="18"/>
          <w:szCs w:val="18"/>
        </w:rPr>
        <w:t xml:space="preserve">        证券简称：华孚时尚                </w:t>
      </w:r>
      <w:r w:rsidR="00B63CEC">
        <w:rPr>
          <w:rFonts w:ascii="宋体" w:hAnsi="宋体" w:cs="宋体" w:hint="eastAsia"/>
          <w:sz w:val="18"/>
          <w:szCs w:val="18"/>
        </w:rPr>
        <w:t xml:space="preserve">       </w:t>
      </w:r>
      <w:r>
        <w:rPr>
          <w:rFonts w:ascii="宋体" w:hAnsi="宋体" w:cs="宋体"/>
          <w:sz w:val="18"/>
          <w:szCs w:val="18"/>
        </w:rPr>
        <w:t>公告编号：</w:t>
      </w:r>
      <w:r w:rsidR="00B63CEC">
        <w:rPr>
          <w:rFonts w:ascii="宋体" w:hAnsi="宋体" w:cs="宋体" w:hint="eastAsia"/>
          <w:sz w:val="18"/>
          <w:szCs w:val="18"/>
        </w:rPr>
        <w:t>2023-16</w:t>
      </w:r>
    </w:p>
    <w:p w:rsidR="00B63CEC" w:rsidRDefault="00B63CEC" w:rsidP="00B63CEC">
      <w:pPr>
        <w:spacing w:beforeLines="300" w:before="936" w:after="1000" w:line="900" w:lineRule="exact"/>
        <w:jc w:val="center"/>
        <w:rPr>
          <w:rFonts w:ascii="宋体" w:hAnsi="宋体" w:cs="宋体"/>
          <w:b/>
          <w:bCs/>
          <w:sz w:val="36"/>
          <w:szCs w:val="36"/>
        </w:rPr>
      </w:pPr>
      <w:r>
        <w:rPr>
          <w:noProof/>
          <w:sz w:val="24"/>
          <w:szCs w:val="24"/>
        </w:rPr>
        <w:drawing>
          <wp:anchor distT="0" distB="0" distL="114300" distR="114300" simplePos="0" relativeHeight="251658240" behindDoc="0" locked="0" layoutInCell="1" allowOverlap="1" wp14:anchorId="3F510480" wp14:editId="222677FF">
            <wp:simplePos x="0" y="0"/>
            <wp:positionH relativeFrom="column">
              <wp:posOffset>2299335</wp:posOffset>
            </wp:positionH>
            <wp:positionV relativeFrom="paragraph">
              <wp:posOffset>674370</wp:posOffset>
            </wp:positionV>
            <wp:extent cx="1410970" cy="391795"/>
            <wp:effectExtent l="0" t="0" r="0" b="825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0970" cy="3917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63CEC" w:rsidRDefault="00FF4227" w:rsidP="00B63CEC">
      <w:pPr>
        <w:spacing w:line="900" w:lineRule="exact"/>
        <w:jc w:val="center"/>
        <w:rPr>
          <w:rFonts w:ascii="宋体" w:hAnsi="宋体" w:cs="宋体"/>
          <w:b/>
          <w:bCs/>
          <w:sz w:val="36"/>
          <w:szCs w:val="36"/>
        </w:rPr>
      </w:pPr>
      <w:r>
        <w:rPr>
          <w:rFonts w:ascii="宋体" w:hAnsi="宋体" w:cs="宋体"/>
          <w:b/>
          <w:bCs/>
          <w:sz w:val="36"/>
          <w:szCs w:val="36"/>
        </w:rPr>
        <w:t>华孚时尚股份有限公司</w:t>
      </w:r>
    </w:p>
    <w:p w:rsidR="003A53BD" w:rsidRDefault="00FF4227" w:rsidP="00B63CEC">
      <w:pPr>
        <w:spacing w:line="900" w:lineRule="exact"/>
        <w:jc w:val="center"/>
        <w:rPr>
          <w:rFonts w:ascii="宋体" w:hAnsi="宋体" w:cs="宋体"/>
          <w:b/>
          <w:bCs/>
          <w:sz w:val="36"/>
          <w:szCs w:val="36"/>
        </w:rPr>
      </w:pPr>
      <w:r>
        <w:rPr>
          <w:rFonts w:ascii="宋体" w:hAnsi="宋体" w:cs="宋体"/>
          <w:b/>
          <w:bCs/>
          <w:sz w:val="36"/>
          <w:szCs w:val="36"/>
        </w:rPr>
        <w:t>2022年年度报告摘要</w:t>
      </w:r>
    </w:p>
    <w:p w:rsidR="003A53BD" w:rsidRDefault="00FF4227" w:rsidP="00B63CEC">
      <w:pPr>
        <w:spacing w:line="900" w:lineRule="exact"/>
      </w:pPr>
      <w:r>
        <w:br w:type="page"/>
      </w:r>
    </w:p>
    <w:p w:rsidR="003A53BD" w:rsidRDefault="00FF4227">
      <w:pPr>
        <w:keepNext/>
        <w:keepLines/>
        <w:spacing w:before="300" w:after="300" w:line="320" w:lineRule="exact"/>
        <w:jc w:val="left"/>
        <w:outlineLvl w:val="1"/>
        <w:rPr>
          <w:rFonts w:ascii="宋体" w:hAnsi="宋体" w:cs="宋体"/>
          <w:b/>
          <w:bCs/>
          <w:sz w:val="24"/>
          <w:szCs w:val="24"/>
        </w:rPr>
      </w:pPr>
      <w:bookmarkStart w:id="0" w:name="_Toc988889"/>
      <w:r>
        <w:rPr>
          <w:rFonts w:ascii="宋体" w:hAnsi="宋体" w:cs="宋体"/>
          <w:b/>
          <w:bCs/>
          <w:sz w:val="24"/>
          <w:szCs w:val="24"/>
        </w:rPr>
        <w:lastRenderedPageBreak/>
        <w:t>一、重要提示</w:t>
      </w:r>
      <w:bookmarkEnd w:id="0"/>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本年度报告摘要来自年度报告全文，为全面了解本公司的经营成果、财务状况及未来发展规划，投资者应当到证监会指定媒体仔细阅读年度报告全文。</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所有董事均已出席了审议本报告的董事会会议。</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非标准审计意见提示</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董事会审议的报告期利润分配预案或公积金转增股本预案</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公司计划不派发现金红利，不送红股，不以公积金转增股本。</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董事会决议通过的本报告期优先股利润分配预案</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□适用 □不适用</w:t>
      </w:r>
    </w:p>
    <w:p w:rsidR="003A53BD" w:rsidRDefault="00FF4227">
      <w:pPr>
        <w:keepNext/>
        <w:keepLines/>
        <w:spacing w:before="300" w:after="300" w:line="320" w:lineRule="exact"/>
        <w:jc w:val="left"/>
        <w:outlineLvl w:val="1"/>
        <w:rPr>
          <w:rFonts w:ascii="宋体" w:hAnsi="宋体" w:cs="宋体"/>
          <w:b/>
          <w:bCs/>
          <w:sz w:val="24"/>
          <w:szCs w:val="24"/>
        </w:rPr>
      </w:pPr>
      <w:bookmarkStart w:id="1" w:name="_Toc988890"/>
      <w:r>
        <w:rPr>
          <w:rFonts w:ascii="宋体" w:hAnsi="宋体" w:cs="宋体"/>
          <w:b/>
          <w:bCs/>
          <w:sz w:val="24"/>
          <w:szCs w:val="24"/>
        </w:rPr>
        <w:t>二、公司基本情况</w:t>
      </w:r>
      <w:bookmarkEnd w:id="1"/>
    </w:p>
    <w:p w:rsidR="003A53BD" w:rsidRDefault="00FF4227">
      <w:pPr>
        <w:keepNext/>
        <w:keepLines/>
        <w:spacing w:before="300" w:after="300" w:line="280" w:lineRule="exact"/>
        <w:jc w:val="left"/>
        <w:outlineLvl w:val="2"/>
        <w:rPr>
          <w:rFonts w:ascii="宋体" w:hAnsi="宋体" w:cs="宋体"/>
          <w:b/>
          <w:bCs/>
          <w:szCs w:val="21"/>
        </w:rPr>
      </w:pPr>
      <w:bookmarkStart w:id="2" w:name="_Toc988891"/>
      <w:r>
        <w:rPr>
          <w:rFonts w:ascii="宋体" w:hAnsi="宋体" w:cs="宋体"/>
          <w:b/>
          <w:bCs/>
          <w:szCs w:val="21"/>
        </w:rPr>
        <w:t>1、公司简介</w:t>
      </w:r>
      <w:bookmarkEnd w:id="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68"/>
        <w:gridCol w:w="3969"/>
        <w:gridCol w:w="2522"/>
        <w:gridCol w:w="1480"/>
      </w:tblGrid>
      <w:tr w:rsidR="003A53BD" w:rsidTr="00B63CEC">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股票简称</w:t>
            </w:r>
          </w:p>
        </w:tc>
        <w:tc>
          <w:tcPr>
            <w:tcW w:w="3969"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华孚时尚</w:t>
            </w:r>
          </w:p>
        </w:tc>
        <w:tc>
          <w:tcPr>
            <w:tcW w:w="2522"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股票代码</w:t>
            </w:r>
          </w:p>
        </w:tc>
        <w:tc>
          <w:tcPr>
            <w:tcW w:w="1480"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002042</w:t>
            </w:r>
          </w:p>
        </w:tc>
      </w:tr>
      <w:tr w:rsidR="003A53BD" w:rsidTr="00B63CEC">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股票上市交易所</w:t>
            </w:r>
          </w:p>
        </w:tc>
        <w:tc>
          <w:tcPr>
            <w:tcW w:w="7971"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深圳证券交易所</w:t>
            </w:r>
          </w:p>
        </w:tc>
      </w:tr>
      <w:tr w:rsidR="003A53BD" w:rsidTr="00B63CEC">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B63CEC">
            <w:pPr>
              <w:spacing w:before="40" w:after="40" w:line="240" w:lineRule="exact"/>
              <w:jc w:val="left"/>
              <w:rPr>
                <w:rFonts w:ascii="宋体" w:hAnsi="宋体" w:cs="宋体"/>
                <w:sz w:val="18"/>
                <w:szCs w:val="18"/>
              </w:rPr>
            </w:pPr>
            <w:r>
              <w:rPr>
                <w:rFonts w:ascii="宋体" w:hAnsi="宋体" w:cs="宋体"/>
                <w:sz w:val="18"/>
                <w:szCs w:val="18"/>
              </w:rPr>
              <w:t>变更前的股票简称</w:t>
            </w:r>
          </w:p>
        </w:tc>
        <w:tc>
          <w:tcPr>
            <w:tcW w:w="7971"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华孚色纺</w:t>
            </w:r>
          </w:p>
        </w:tc>
      </w:tr>
      <w:tr w:rsidR="003A53BD" w:rsidTr="00B63CEC">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rsidP="00B63CEC">
            <w:pPr>
              <w:spacing w:before="40" w:after="40" w:line="240" w:lineRule="exact"/>
              <w:rPr>
                <w:rFonts w:ascii="宋体" w:hAnsi="宋体" w:cs="宋体"/>
                <w:sz w:val="18"/>
                <w:szCs w:val="18"/>
              </w:rPr>
            </w:pPr>
            <w:r>
              <w:rPr>
                <w:rFonts w:ascii="宋体" w:hAnsi="宋体" w:cs="宋体"/>
                <w:sz w:val="18"/>
                <w:szCs w:val="18"/>
              </w:rPr>
              <w:t>联系人和联系方式</w:t>
            </w:r>
          </w:p>
        </w:tc>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董事会秘书</w:t>
            </w:r>
          </w:p>
        </w:tc>
        <w:tc>
          <w:tcPr>
            <w:tcW w:w="400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证券事务代表</w:t>
            </w:r>
          </w:p>
        </w:tc>
      </w:tr>
      <w:tr w:rsidR="003A53BD" w:rsidTr="00B63CEC">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姓名</w:t>
            </w:r>
          </w:p>
        </w:tc>
        <w:tc>
          <w:tcPr>
            <w:tcW w:w="3969"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张正</w:t>
            </w:r>
          </w:p>
        </w:tc>
        <w:tc>
          <w:tcPr>
            <w:tcW w:w="4002"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孙献</w:t>
            </w:r>
          </w:p>
        </w:tc>
      </w:tr>
      <w:tr w:rsidR="003A53BD" w:rsidTr="00B63CEC">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办公地址</w:t>
            </w:r>
          </w:p>
        </w:tc>
        <w:tc>
          <w:tcPr>
            <w:tcW w:w="3969"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广东省深圳市福田区市花路5号长富金茂大厦59楼</w:t>
            </w:r>
          </w:p>
        </w:tc>
        <w:tc>
          <w:tcPr>
            <w:tcW w:w="4002"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广东省深圳市福田区市花路5号长富金茂大厦59楼</w:t>
            </w:r>
          </w:p>
        </w:tc>
      </w:tr>
      <w:tr w:rsidR="003A53BD" w:rsidTr="00B63CEC">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传真</w:t>
            </w:r>
          </w:p>
        </w:tc>
        <w:tc>
          <w:tcPr>
            <w:tcW w:w="3969"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0755-83735566</w:t>
            </w:r>
          </w:p>
        </w:tc>
        <w:tc>
          <w:tcPr>
            <w:tcW w:w="4002"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0755-83735566</w:t>
            </w:r>
          </w:p>
        </w:tc>
      </w:tr>
      <w:tr w:rsidR="003A53BD" w:rsidTr="00B63CEC">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电话</w:t>
            </w:r>
          </w:p>
        </w:tc>
        <w:tc>
          <w:tcPr>
            <w:tcW w:w="3969"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0755-83735593</w:t>
            </w:r>
          </w:p>
        </w:tc>
        <w:tc>
          <w:tcPr>
            <w:tcW w:w="4002"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0755-83735433</w:t>
            </w:r>
          </w:p>
        </w:tc>
      </w:tr>
      <w:tr w:rsidR="003A53BD" w:rsidTr="00B63CEC">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电子信箱</w:t>
            </w:r>
          </w:p>
        </w:tc>
        <w:tc>
          <w:tcPr>
            <w:tcW w:w="3969"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dongban@e-huafu.com</w:t>
            </w:r>
          </w:p>
        </w:tc>
        <w:tc>
          <w:tcPr>
            <w:tcW w:w="4002"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sunx@e-huafu.com</w:t>
            </w:r>
          </w:p>
        </w:tc>
      </w:tr>
    </w:tbl>
    <w:p w:rsidR="003A53BD" w:rsidRDefault="00FF4227">
      <w:pPr>
        <w:keepNext/>
        <w:keepLines/>
        <w:spacing w:before="300" w:after="300" w:line="280" w:lineRule="exact"/>
        <w:jc w:val="left"/>
        <w:outlineLvl w:val="2"/>
        <w:rPr>
          <w:rFonts w:ascii="宋体" w:hAnsi="宋体" w:cs="宋体"/>
          <w:b/>
          <w:bCs/>
          <w:szCs w:val="21"/>
        </w:rPr>
      </w:pPr>
      <w:bookmarkStart w:id="3" w:name="_Toc988892"/>
      <w:r>
        <w:rPr>
          <w:rFonts w:ascii="宋体" w:hAnsi="宋体" w:cs="宋体"/>
          <w:b/>
          <w:bCs/>
          <w:szCs w:val="21"/>
        </w:rPr>
        <w:t>2、报告期主要业务或产品简介</w:t>
      </w:r>
      <w:bookmarkEnd w:id="3"/>
    </w:p>
    <w:p w:rsidR="003A53BD" w:rsidRPr="00B63CEC" w:rsidRDefault="00FF4227" w:rsidP="00B63CEC">
      <w:pPr>
        <w:pStyle w:val="a3"/>
        <w:widowControl/>
        <w:spacing w:beforeAutospacing="0" w:afterAutospacing="0"/>
        <w:ind w:firstLine="360"/>
        <w:rPr>
          <w:rFonts w:asciiTheme="minorEastAsia" w:eastAsiaTheme="minorEastAsia" w:hAnsiTheme="minorEastAsia" w:cs="Calibri"/>
          <w:sz w:val="18"/>
          <w:szCs w:val="18"/>
        </w:rPr>
      </w:pPr>
      <w:r w:rsidRPr="00B63CEC">
        <w:rPr>
          <w:rFonts w:asciiTheme="minorEastAsia" w:eastAsiaTheme="minorEastAsia" w:hAnsiTheme="minorEastAsia" w:cs="Calibri"/>
          <w:sz w:val="18"/>
          <w:szCs w:val="18"/>
        </w:rPr>
        <w:t>1</w:t>
      </w:r>
      <w:r w:rsidRPr="00B63CEC">
        <w:rPr>
          <w:rFonts w:asciiTheme="minorEastAsia" w:eastAsiaTheme="minorEastAsia" w:hAnsiTheme="minorEastAsia" w:cs="宋体" w:hint="eastAsia"/>
          <w:sz w:val="18"/>
          <w:szCs w:val="18"/>
        </w:rPr>
        <w:t>、公司的主要业务</w:t>
      </w:r>
    </w:p>
    <w:p w:rsidR="003A53BD" w:rsidRPr="00B63CEC" w:rsidRDefault="00FF4227" w:rsidP="00B63CEC">
      <w:pPr>
        <w:pStyle w:val="a3"/>
        <w:widowControl/>
        <w:spacing w:beforeAutospacing="0" w:afterAutospacing="0"/>
        <w:ind w:firstLine="360"/>
        <w:rPr>
          <w:rFonts w:asciiTheme="minorEastAsia" w:eastAsiaTheme="minorEastAsia" w:hAnsiTheme="minorEastAsia" w:cs="Calibri"/>
          <w:sz w:val="18"/>
          <w:szCs w:val="18"/>
        </w:rPr>
      </w:pPr>
      <w:r w:rsidRPr="00B63CEC">
        <w:rPr>
          <w:rFonts w:asciiTheme="minorEastAsia" w:eastAsiaTheme="minorEastAsia" w:hAnsiTheme="minorEastAsia" w:cs="宋体" w:hint="eastAsia"/>
          <w:sz w:val="18"/>
          <w:szCs w:val="18"/>
        </w:rPr>
        <w:t>公司作为全球最大的色纺纱制造商和供应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纺服供应链，实现前后端产业贯通，致力成为全球纺织服装产业时尚营运商。</w:t>
      </w:r>
    </w:p>
    <w:p w:rsidR="003A53BD" w:rsidRPr="00B63CEC" w:rsidRDefault="00FF4227" w:rsidP="00B63CEC">
      <w:pPr>
        <w:pStyle w:val="a3"/>
        <w:widowControl/>
        <w:spacing w:beforeAutospacing="0" w:afterAutospacing="0"/>
        <w:ind w:firstLine="360"/>
        <w:rPr>
          <w:rFonts w:asciiTheme="minorEastAsia" w:eastAsiaTheme="minorEastAsia" w:hAnsiTheme="minorEastAsia" w:cs="Calibri"/>
          <w:sz w:val="18"/>
          <w:szCs w:val="18"/>
        </w:rPr>
      </w:pPr>
      <w:r w:rsidRPr="00B63CEC">
        <w:rPr>
          <w:rFonts w:asciiTheme="minorEastAsia" w:eastAsiaTheme="minorEastAsia" w:hAnsiTheme="minorEastAsia" w:cs="Calibri"/>
          <w:sz w:val="18"/>
          <w:szCs w:val="18"/>
        </w:rPr>
        <w:t>2</w:t>
      </w:r>
      <w:r w:rsidRPr="00B63CEC">
        <w:rPr>
          <w:rFonts w:asciiTheme="minorEastAsia" w:eastAsiaTheme="minorEastAsia" w:hAnsiTheme="minorEastAsia" w:cs="宋体" w:hint="eastAsia"/>
          <w:sz w:val="18"/>
          <w:szCs w:val="18"/>
        </w:rPr>
        <w:t>、经营模式</w:t>
      </w:r>
    </w:p>
    <w:p w:rsidR="003A53BD" w:rsidRPr="00B63CEC" w:rsidRDefault="00FF4227" w:rsidP="00B63CEC">
      <w:pPr>
        <w:pStyle w:val="a3"/>
        <w:widowControl/>
        <w:spacing w:beforeAutospacing="0" w:afterAutospacing="0"/>
        <w:ind w:firstLine="360"/>
        <w:rPr>
          <w:rFonts w:asciiTheme="minorEastAsia" w:eastAsiaTheme="minorEastAsia" w:hAnsiTheme="minorEastAsia" w:cs="Calibri"/>
          <w:sz w:val="18"/>
          <w:szCs w:val="18"/>
        </w:rPr>
      </w:pPr>
      <w:r w:rsidRPr="00B63CEC">
        <w:rPr>
          <w:rFonts w:asciiTheme="minorEastAsia" w:eastAsiaTheme="minorEastAsia" w:hAnsiTheme="minorEastAsia" w:cs="宋体" w:hint="eastAsia"/>
          <w:sz w:val="18"/>
          <w:szCs w:val="18"/>
        </w:rPr>
        <w:t>主营纱线方面，目前纱线产能</w:t>
      </w:r>
      <w:r w:rsidRPr="00B63CEC">
        <w:rPr>
          <w:rFonts w:asciiTheme="minorEastAsia" w:eastAsiaTheme="minorEastAsia" w:hAnsiTheme="minorEastAsia" w:cs="Calibri"/>
          <w:sz w:val="18"/>
          <w:szCs w:val="18"/>
        </w:rPr>
        <w:t>206</w:t>
      </w:r>
      <w:r w:rsidRPr="00B63CEC">
        <w:rPr>
          <w:rFonts w:asciiTheme="minorEastAsia" w:eastAsiaTheme="minorEastAsia" w:hAnsiTheme="minorEastAsia" w:cs="宋体" w:hint="eastAsia"/>
          <w:sz w:val="18"/>
          <w:szCs w:val="18"/>
        </w:rPr>
        <w:t>万锭，年产</w:t>
      </w:r>
      <w:r w:rsidRPr="00B63CEC">
        <w:rPr>
          <w:rFonts w:asciiTheme="minorEastAsia" w:eastAsiaTheme="minorEastAsia" w:hAnsiTheme="minorEastAsia" w:cs="Calibri"/>
          <w:sz w:val="18"/>
          <w:szCs w:val="18"/>
        </w:rPr>
        <w:t>29</w:t>
      </w:r>
      <w:r w:rsidRPr="00B63CEC">
        <w:rPr>
          <w:rFonts w:asciiTheme="minorEastAsia" w:eastAsiaTheme="minorEastAsia" w:hAnsiTheme="minorEastAsia" w:cs="宋体" w:hint="eastAsia"/>
          <w:sz w:val="18"/>
          <w:szCs w:val="18"/>
        </w:rPr>
        <w:t>万吨新型纱线，生产基地覆盖中国东部和新疆、越南等地。公司通过产业链协同，统筹市场及订单信息，制定</w:t>
      </w:r>
      <w:r w:rsidRPr="00B63CEC">
        <w:rPr>
          <w:rFonts w:asciiTheme="minorEastAsia" w:eastAsiaTheme="minorEastAsia" w:hAnsiTheme="minorEastAsia" w:cs="Calibri"/>
          <w:sz w:val="18"/>
          <w:szCs w:val="18"/>
        </w:rPr>
        <w:t>“</w:t>
      </w:r>
      <w:r w:rsidRPr="00B63CEC">
        <w:rPr>
          <w:rFonts w:asciiTheme="minorEastAsia" w:eastAsiaTheme="minorEastAsia" w:hAnsiTheme="minorEastAsia" w:cs="宋体" w:hint="eastAsia"/>
          <w:sz w:val="18"/>
          <w:szCs w:val="18"/>
        </w:rPr>
        <w:t>点（产地）对点（客户）</w:t>
      </w:r>
      <w:r w:rsidRPr="00B63CEC">
        <w:rPr>
          <w:rFonts w:asciiTheme="minorEastAsia" w:eastAsiaTheme="minorEastAsia" w:hAnsiTheme="minorEastAsia" w:cs="Calibri"/>
          <w:sz w:val="18"/>
          <w:szCs w:val="18"/>
        </w:rPr>
        <w:t>”</w:t>
      </w:r>
      <w:r w:rsidRPr="00B63CEC">
        <w:rPr>
          <w:rFonts w:asciiTheme="minorEastAsia" w:eastAsiaTheme="minorEastAsia" w:hAnsiTheme="minorEastAsia" w:cs="宋体" w:hint="eastAsia"/>
          <w:sz w:val="18"/>
          <w:szCs w:val="18"/>
        </w:rPr>
        <w:t>的供应链计划，分区域、分工厂、分生产线进行规模化定制，公司坚持以客户为本，品质至上，以趋势为方向，通过产品创新提升产品品质及附加值，赢得了客户的信赖。</w:t>
      </w:r>
    </w:p>
    <w:p w:rsidR="003A53BD" w:rsidRPr="00B63CEC" w:rsidRDefault="00FF4227" w:rsidP="00B63CEC">
      <w:pPr>
        <w:pStyle w:val="a3"/>
        <w:widowControl/>
        <w:spacing w:beforeAutospacing="0" w:afterAutospacing="0"/>
        <w:ind w:firstLine="360"/>
        <w:rPr>
          <w:rFonts w:asciiTheme="minorEastAsia" w:eastAsiaTheme="minorEastAsia" w:hAnsiTheme="minorEastAsia" w:cs="Calibri"/>
          <w:sz w:val="18"/>
          <w:szCs w:val="18"/>
        </w:rPr>
      </w:pPr>
      <w:r w:rsidRPr="00B63CEC">
        <w:rPr>
          <w:rFonts w:asciiTheme="minorEastAsia" w:eastAsiaTheme="minorEastAsia" w:hAnsiTheme="minorEastAsia" w:cs="宋体" w:hint="eastAsia"/>
          <w:sz w:val="18"/>
          <w:szCs w:val="18"/>
        </w:rPr>
        <w:t>前端网链以“棉花加工（含农业、物流）、棉花贸易和棉花金融投资”作为核心业务；后端网链目前已经设立阿大数智互联袜业平台，包括自主品牌经营、品牌授权经营、贴牌业务经营、纱线经营等</w:t>
      </w:r>
      <w:r w:rsidRPr="00B63CEC">
        <w:rPr>
          <w:rFonts w:asciiTheme="minorEastAsia" w:eastAsiaTheme="minorEastAsia" w:hAnsiTheme="minorEastAsia"/>
          <w:sz w:val="18"/>
          <w:szCs w:val="18"/>
        </w:rPr>
        <w:t>业务模式。</w:t>
      </w:r>
    </w:p>
    <w:p w:rsidR="003A53BD" w:rsidRPr="00B63CEC" w:rsidRDefault="00FF4227" w:rsidP="00B63CEC">
      <w:pPr>
        <w:pStyle w:val="a3"/>
        <w:widowControl/>
        <w:spacing w:beforeAutospacing="0" w:afterAutospacing="0"/>
        <w:ind w:firstLine="360"/>
        <w:rPr>
          <w:rFonts w:asciiTheme="minorEastAsia" w:eastAsiaTheme="minorEastAsia" w:hAnsiTheme="minorEastAsia" w:cs="Calibri"/>
          <w:sz w:val="18"/>
          <w:szCs w:val="18"/>
        </w:rPr>
      </w:pPr>
      <w:r w:rsidRPr="00B63CEC">
        <w:rPr>
          <w:rFonts w:asciiTheme="minorEastAsia" w:eastAsiaTheme="minorEastAsia" w:hAnsiTheme="minorEastAsia" w:cs="Calibri"/>
          <w:sz w:val="18"/>
          <w:szCs w:val="18"/>
        </w:rPr>
        <w:t>3</w:t>
      </w:r>
      <w:r w:rsidRPr="00B63CEC">
        <w:rPr>
          <w:rFonts w:asciiTheme="minorEastAsia" w:eastAsiaTheme="minorEastAsia" w:hAnsiTheme="minorEastAsia" w:cs="宋体" w:hint="eastAsia"/>
          <w:sz w:val="18"/>
          <w:szCs w:val="18"/>
        </w:rPr>
        <w:t>、主营业务分析</w:t>
      </w:r>
    </w:p>
    <w:p w:rsidR="003A53BD" w:rsidRPr="00B63CEC" w:rsidRDefault="00FF4227" w:rsidP="00B63CEC">
      <w:pPr>
        <w:pStyle w:val="a3"/>
        <w:widowControl/>
        <w:spacing w:beforeAutospacing="0" w:afterAutospacing="0"/>
        <w:ind w:firstLine="430"/>
        <w:rPr>
          <w:rFonts w:asciiTheme="minorEastAsia" w:eastAsiaTheme="minorEastAsia" w:hAnsiTheme="minorEastAsia" w:cs="Calibri"/>
          <w:sz w:val="18"/>
          <w:szCs w:val="18"/>
        </w:rPr>
      </w:pPr>
      <w:r w:rsidRPr="00B63CEC">
        <w:rPr>
          <w:rFonts w:asciiTheme="minorEastAsia" w:eastAsiaTheme="minorEastAsia" w:hAnsiTheme="minorEastAsia" w:cs="宋体" w:hint="eastAsia"/>
          <w:sz w:val="18"/>
          <w:szCs w:val="18"/>
        </w:rPr>
        <w:t>报告期内，公司实现营业收入144.60亿元，同比下降13.46%，归母净利润-3.51亿元，同比由盈转亏。2022年因俄乌冲突的持续发酵、美国涉疆法案的颁布实施等带来原料价格波动及供应链受限多重影响，形势急转直下，引发市场对经济衰退的忧虑加剧，消费者购买力持续下降。公司全年经营呈现明显逐步走弱的趋势，和纺织服装行业运行总体放缓态势保持一致。</w:t>
      </w:r>
    </w:p>
    <w:p w:rsidR="003A53BD" w:rsidRPr="00B63CEC" w:rsidRDefault="00FF4227" w:rsidP="00B63CEC">
      <w:pPr>
        <w:pStyle w:val="a3"/>
        <w:widowControl/>
        <w:spacing w:beforeAutospacing="0" w:afterAutospacing="0"/>
        <w:ind w:firstLine="420"/>
        <w:rPr>
          <w:rFonts w:asciiTheme="minorEastAsia" w:eastAsiaTheme="minorEastAsia" w:hAnsiTheme="minorEastAsia" w:cs="Calibri"/>
          <w:sz w:val="18"/>
          <w:szCs w:val="18"/>
        </w:rPr>
      </w:pPr>
      <w:r w:rsidRPr="00B63CEC">
        <w:rPr>
          <w:rFonts w:asciiTheme="minorEastAsia" w:eastAsiaTheme="minorEastAsia" w:hAnsiTheme="minorEastAsia" w:cs="宋体" w:hint="eastAsia"/>
          <w:sz w:val="18"/>
          <w:szCs w:val="18"/>
        </w:rPr>
        <w:t>2022年下半年市场订单持续下滑，工厂开台率不足，产能利用率缺口增加。公司以新疆为代表的主要生产区域四季度产能发挥受限，停产损失增加。下半年以来多重负面因素叠加导致棉价大幅急跌，</w:t>
      </w:r>
      <w:bookmarkStart w:id="4" w:name="_GoBack"/>
      <w:bookmarkEnd w:id="4"/>
      <w:r w:rsidRPr="00B63CEC">
        <w:rPr>
          <w:rFonts w:asciiTheme="minorEastAsia" w:eastAsiaTheme="minorEastAsia" w:hAnsiTheme="minorEastAsia" w:cs="宋体" w:hint="eastAsia"/>
          <w:sz w:val="18"/>
          <w:szCs w:val="18"/>
        </w:rPr>
        <w:t>公司买入套期保值业务出现浮亏，同时根据在手订单情况和库存规模对存货计提了充分的跌价准备。</w:t>
      </w:r>
    </w:p>
    <w:p w:rsidR="003A53BD" w:rsidRPr="00B63CEC" w:rsidRDefault="00FF4227" w:rsidP="00B63CEC">
      <w:pPr>
        <w:pStyle w:val="a3"/>
        <w:widowControl/>
        <w:spacing w:beforeAutospacing="0" w:afterAutospacing="0"/>
        <w:ind w:firstLine="420"/>
        <w:rPr>
          <w:rFonts w:asciiTheme="minorEastAsia" w:eastAsiaTheme="minorEastAsia" w:hAnsiTheme="minorEastAsia" w:cs="Calibri"/>
          <w:sz w:val="18"/>
          <w:szCs w:val="18"/>
        </w:rPr>
      </w:pPr>
      <w:r w:rsidRPr="00B63CEC">
        <w:rPr>
          <w:rFonts w:asciiTheme="minorEastAsia" w:eastAsiaTheme="minorEastAsia" w:hAnsiTheme="minorEastAsia" w:cs="宋体" w:hint="eastAsia"/>
          <w:sz w:val="18"/>
          <w:szCs w:val="18"/>
        </w:rPr>
        <w:t>公司持续拓展内循环市场空间，深度挖掘国内供应链客户，抓住产业集中度提升机会，围绕功能科技、时尚快反、可持续发展、高质量发展四条主线，做全品类的供应商。</w:t>
      </w:r>
    </w:p>
    <w:p w:rsidR="003A53BD" w:rsidRPr="00B63CEC" w:rsidRDefault="00FF4227" w:rsidP="00B63CEC">
      <w:pPr>
        <w:pStyle w:val="a3"/>
        <w:widowControl/>
        <w:spacing w:beforeAutospacing="0" w:afterAutospacing="0"/>
        <w:ind w:firstLine="420"/>
        <w:rPr>
          <w:rFonts w:asciiTheme="minorEastAsia" w:eastAsiaTheme="minorEastAsia" w:hAnsiTheme="minorEastAsia" w:cs="Calibri"/>
          <w:sz w:val="18"/>
          <w:szCs w:val="18"/>
        </w:rPr>
      </w:pPr>
      <w:r w:rsidRPr="00B63CEC">
        <w:rPr>
          <w:rFonts w:asciiTheme="minorEastAsia" w:eastAsiaTheme="minorEastAsia" w:hAnsiTheme="minorEastAsia" w:cs="宋体" w:hint="eastAsia"/>
          <w:sz w:val="18"/>
          <w:szCs w:val="18"/>
        </w:rPr>
        <w:t>积极推进数字化工厂建设，推行生产数智化管理，公司数字化架构100%搭建完成，新要素降本增效效果逐步体现。</w:t>
      </w:r>
    </w:p>
    <w:p w:rsidR="003A53BD" w:rsidRPr="00B63CEC" w:rsidRDefault="00FF4227" w:rsidP="00B63CEC">
      <w:pPr>
        <w:pStyle w:val="a3"/>
        <w:widowControl/>
        <w:spacing w:beforeAutospacing="0" w:afterAutospacing="0"/>
        <w:jc w:val="both"/>
        <w:rPr>
          <w:rFonts w:asciiTheme="minorEastAsia" w:eastAsiaTheme="minorEastAsia" w:hAnsiTheme="minorEastAsia" w:cs="Calibri"/>
          <w:sz w:val="18"/>
          <w:szCs w:val="18"/>
        </w:rPr>
      </w:pPr>
      <w:r w:rsidRPr="00B63CEC">
        <w:rPr>
          <w:rFonts w:asciiTheme="minorEastAsia" w:eastAsiaTheme="minorEastAsia" w:hAnsiTheme="minorEastAsia" w:cs="宋体" w:hint="eastAsia"/>
          <w:sz w:val="18"/>
          <w:szCs w:val="18"/>
        </w:rPr>
        <w:t>坚持做强主业，加快共享产业，2022年后端网链在继续小商品产业园袜机数字化建设的同时，开始推进诸暨当地数字化工厂改造，并通过SaaS平台连接新疆阿克苏地区以及淮北产业园，完成以数字驱动、产业互联、订单共享的集产品研发、祙品交易、纱线供应、物流金融支持的全产业链平台。</w:t>
      </w:r>
    </w:p>
    <w:p w:rsidR="003A53BD" w:rsidRDefault="00FF4227">
      <w:pPr>
        <w:keepNext/>
        <w:keepLines/>
        <w:spacing w:before="300" w:after="300" w:line="280" w:lineRule="exact"/>
        <w:jc w:val="left"/>
        <w:outlineLvl w:val="2"/>
        <w:rPr>
          <w:rFonts w:ascii="宋体" w:hAnsi="宋体" w:cs="宋体"/>
          <w:b/>
          <w:bCs/>
          <w:szCs w:val="21"/>
        </w:rPr>
      </w:pPr>
      <w:bookmarkStart w:id="5" w:name="_Toc988893"/>
      <w:r>
        <w:rPr>
          <w:rFonts w:ascii="宋体" w:hAnsi="宋体" w:cs="宋体"/>
          <w:b/>
          <w:bCs/>
          <w:szCs w:val="21"/>
        </w:rPr>
        <w:t>3、主要会计数据和财务指标</w:t>
      </w:r>
      <w:bookmarkEnd w:id="5"/>
    </w:p>
    <w:p w:rsidR="003A53BD" w:rsidRDefault="00FF4227">
      <w:pPr>
        <w:keepNext/>
        <w:keepLines/>
        <w:spacing w:before="300" w:after="300" w:line="280" w:lineRule="exact"/>
        <w:jc w:val="left"/>
        <w:outlineLvl w:val="3"/>
        <w:rPr>
          <w:rFonts w:ascii="宋体" w:hAnsi="宋体" w:cs="宋体"/>
          <w:b/>
          <w:bCs/>
          <w:sz w:val="18"/>
          <w:szCs w:val="18"/>
        </w:rPr>
      </w:pPr>
      <w:bookmarkStart w:id="6" w:name="_Toc988894"/>
      <w:r>
        <w:rPr>
          <w:rFonts w:ascii="宋体" w:hAnsi="宋体" w:cs="宋体"/>
          <w:b/>
          <w:bCs/>
          <w:sz w:val="18"/>
          <w:szCs w:val="18"/>
        </w:rPr>
        <w:t>（1） 近三年主要会计数据和财务指标</w:t>
      </w:r>
      <w:bookmarkEnd w:id="6"/>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公司是否需追溯调整或重述以前年度会计数据</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 xml:space="preserve">□是 </w:t>
      </w:r>
      <w:r>
        <w:rPr>
          <w:rFonts w:ascii="宋体" w:hAnsi="宋体" w:cs="宋体"/>
          <w:sz w:val="18"/>
          <w:szCs w:val="18"/>
        </w:rPr>
        <w:sym w:font="Wingdings 2" w:char="F052"/>
      </w:r>
      <w:r>
        <w:rPr>
          <w:rFonts w:ascii="宋体" w:hAnsi="宋体" w:cs="宋体"/>
          <w:sz w:val="18"/>
          <w:szCs w:val="18"/>
        </w:rPr>
        <w:t>否</w:t>
      </w:r>
    </w:p>
    <w:p w:rsidR="003A53BD" w:rsidRDefault="00FF4227">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3A53BD"/>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2022年末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2021年末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本年末比上年末增减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2020年末</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总资产</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18,144,000,776.77</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20,138,185,868.88</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-9.90%</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17,610,075,576.16</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归属于上市公司股东的净资产</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6,292,682,730.29</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7,009,197,204.12</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-10.22%</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5,622,219,847.15</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3A53BD"/>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2022年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2021年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本年比上年增减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2020年</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14,459,640,227.88</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16,708,437,212.10</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-13.46%</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14,231,727,949.61</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归属于上市公司股东的净利润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-350,966,956.53</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569,742,293.45</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-161.60%</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-444,230,430.81</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归属于上市公司股东的扣除非经常性损益的净利润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-373,646,730.93</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352,080,653.04</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-206.13%</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-754,531,371.57</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经营活动产生的现金流量净额</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892,963,119.78</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719,880,146.08</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24.04%</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828,351,709.37</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基本每股收益（元/股）</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-0.21</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0.38</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-155.26%</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-0.31</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稀释每股收益（元/股）</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-0.21</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0.38</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-155.26%</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-0.31</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加权平均净资产收益率</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-5.09%</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9.24%</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-14.33%</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-7.31%</w:t>
            </w:r>
          </w:p>
        </w:tc>
      </w:tr>
    </w:tbl>
    <w:p w:rsidR="003A53BD" w:rsidRDefault="00FF4227">
      <w:pPr>
        <w:keepNext/>
        <w:keepLines/>
        <w:spacing w:before="300" w:after="300" w:line="280" w:lineRule="exact"/>
        <w:jc w:val="left"/>
        <w:outlineLvl w:val="3"/>
        <w:rPr>
          <w:rFonts w:ascii="宋体" w:hAnsi="宋体" w:cs="宋体"/>
          <w:b/>
          <w:bCs/>
          <w:sz w:val="18"/>
          <w:szCs w:val="18"/>
        </w:rPr>
      </w:pPr>
      <w:bookmarkStart w:id="7" w:name="_Toc988895"/>
      <w:r>
        <w:rPr>
          <w:rFonts w:ascii="宋体" w:hAnsi="宋体" w:cs="宋体"/>
          <w:b/>
          <w:bCs/>
          <w:sz w:val="18"/>
          <w:szCs w:val="18"/>
        </w:rPr>
        <w:t>（2） 分季度主要会计数据</w:t>
      </w:r>
      <w:bookmarkEnd w:id="7"/>
    </w:p>
    <w:p w:rsidR="003A53BD" w:rsidRDefault="00FF4227">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3A53BD"/>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第一季度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第二季度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第三季度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第四季度</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4,147,121,738.76</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4,388,848,363.67</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4,765,589,199.46</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1,158,080,925.99</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归属于上市公司股东的净利润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150,058,072.74</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142,438,527.01</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8,053,944.70</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-651,517,500.97</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归属于上市公司股东的扣除非经常性损益的净利润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132,151,829.13</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144,548,848.87</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5,714,367.33</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-656,061,776.26</w:t>
            </w:r>
          </w:p>
        </w:tc>
      </w:tr>
      <w:tr w:rsidR="003A53B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经营活动产生的现金流量净额</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687,085,984.34</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78,351,066.17</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596,336,053.50</w:t>
            </w:r>
          </w:p>
        </w:tc>
        <w:tc>
          <w:tcPr>
            <w:tcW w:w="1928"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-468,809,984.23</w:t>
            </w:r>
          </w:p>
        </w:tc>
      </w:tr>
    </w:tbl>
    <w:p w:rsidR="003A53BD" w:rsidRDefault="00FF4227">
      <w:pPr>
        <w:spacing w:before="100" w:after="100" w:line="240" w:lineRule="exact"/>
        <w:jc w:val="left"/>
        <w:rPr>
          <w:rFonts w:ascii="宋体" w:hAnsi="宋体" w:cs="宋体"/>
          <w:sz w:val="18"/>
          <w:szCs w:val="18"/>
        </w:rPr>
      </w:pPr>
      <w:r>
        <w:rPr>
          <w:rFonts w:ascii="宋体" w:hAnsi="宋体" w:cs="宋体"/>
          <w:sz w:val="18"/>
          <w:szCs w:val="18"/>
        </w:rPr>
        <w:t>上述财务指标或其加总数是否与公司已披露季度报告、半年度报告相关财务指标存在重大差异</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 xml:space="preserve">□是 </w:t>
      </w:r>
      <w:r>
        <w:rPr>
          <w:rFonts w:ascii="宋体" w:hAnsi="宋体" w:cs="宋体"/>
          <w:sz w:val="18"/>
          <w:szCs w:val="18"/>
        </w:rPr>
        <w:sym w:font="Wingdings 2" w:char="F052"/>
      </w:r>
      <w:r>
        <w:rPr>
          <w:rFonts w:ascii="宋体" w:hAnsi="宋体" w:cs="宋体"/>
          <w:sz w:val="18"/>
          <w:szCs w:val="18"/>
        </w:rPr>
        <w:t>否</w:t>
      </w:r>
    </w:p>
    <w:p w:rsidR="003A53BD" w:rsidRDefault="00FF4227">
      <w:pPr>
        <w:keepNext/>
        <w:keepLines/>
        <w:spacing w:before="300" w:after="300" w:line="280" w:lineRule="exact"/>
        <w:jc w:val="left"/>
        <w:outlineLvl w:val="2"/>
        <w:rPr>
          <w:rFonts w:ascii="宋体" w:hAnsi="宋体" w:cs="宋体"/>
          <w:b/>
          <w:bCs/>
          <w:szCs w:val="21"/>
        </w:rPr>
      </w:pPr>
      <w:bookmarkStart w:id="8" w:name="_Toc988896"/>
      <w:r>
        <w:rPr>
          <w:rFonts w:ascii="宋体" w:hAnsi="宋体" w:cs="宋体"/>
          <w:b/>
          <w:bCs/>
          <w:szCs w:val="21"/>
        </w:rPr>
        <w:t>4、股本及股东情况</w:t>
      </w:r>
      <w:bookmarkEnd w:id="8"/>
    </w:p>
    <w:p w:rsidR="003A53BD" w:rsidRDefault="00FF4227">
      <w:pPr>
        <w:keepNext/>
        <w:keepLines/>
        <w:spacing w:before="300" w:after="300" w:line="280" w:lineRule="exact"/>
        <w:jc w:val="left"/>
        <w:outlineLvl w:val="3"/>
        <w:rPr>
          <w:rFonts w:ascii="宋体" w:hAnsi="宋体" w:cs="宋体"/>
          <w:b/>
          <w:bCs/>
          <w:sz w:val="18"/>
          <w:szCs w:val="18"/>
        </w:rPr>
      </w:pPr>
      <w:bookmarkStart w:id="9" w:name="_Toc988897"/>
      <w:r>
        <w:rPr>
          <w:rFonts w:ascii="宋体" w:hAnsi="宋体" w:cs="宋体"/>
          <w:b/>
          <w:bCs/>
          <w:sz w:val="18"/>
          <w:szCs w:val="18"/>
        </w:rPr>
        <w:t>（1） 普通股股东和表决权恢复的优先股股东数量及前10名股东持股情况表</w:t>
      </w:r>
      <w:bookmarkEnd w:id="9"/>
    </w:p>
    <w:p w:rsidR="003A53BD" w:rsidRDefault="00FF4227">
      <w:pPr>
        <w:spacing w:before="40" w:after="40" w:line="240" w:lineRule="exact"/>
        <w:jc w:val="right"/>
        <w:rPr>
          <w:rFonts w:ascii="宋体" w:hAnsi="宋体" w:cs="宋体"/>
          <w:sz w:val="18"/>
          <w:szCs w:val="18"/>
        </w:rPr>
      </w:pPr>
      <w:r>
        <w:rPr>
          <w:rFonts w:ascii="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0"/>
        <w:gridCol w:w="1070"/>
        <w:gridCol w:w="662"/>
        <w:gridCol w:w="409"/>
        <w:gridCol w:w="1071"/>
        <w:gridCol w:w="79"/>
        <w:gridCol w:w="992"/>
        <w:gridCol w:w="1071"/>
        <w:gridCol w:w="205"/>
        <w:gridCol w:w="1417"/>
        <w:gridCol w:w="520"/>
        <w:gridCol w:w="473"/>
        <w:gridCol w:w="600"/>
      </w:tblGrid>
      <w:tr w:rsidR="003A53BD" w:rsidTr="00B63CEC">
        <w:trPr>
          <w:trHeight w:val="240"/>
        </w:trPr>
        <w:tc>
          <w:tcPr>
            <w:tcW w:w="1070"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报告期末普通股股东总数</w:t>
            </w:r>
          </w:p>
        </w:tc>
        <w:tc>
          <w:tcPr>
            <w:tcW w:w="1070"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27,142</w:t>
            </w:r>
          </w:p>
        </w:tc>
        <w:tc>
          <w:tcPr>
            <w:tcW w:w="107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年度报告披露日前一个月末普通股股东总数</w:t>
            </w:r>
          </w:p>
        </w:tc>
        <w:tc>
          <w:tcPr>
            <w:tcW w:w="1071"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27,240</w:t>
            </w:r>
          </w:p>
        </w:tc>
        <w:tc>
          <w:tcPr>
            <w:tcW w:w="107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报告期末表决权恢复的优先股股东总数</w:t>
            </w:r>
          </w:p>
        </w:tc>
        <w:tc>
          <w:tcPr>
            <w:tcW w:w="1071"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214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年度报告披露日前一个月末表决权恢复的优先股股东总数</w:t>
            </w:r>
          </w:p>
        </w:tc>
        <w:tc>
          <w:tcPr>
            <w:tcW w:w="1073"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r>
      <w:tr w:rsidR="003A53BD">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前10名股东持股情况</w:t>
            </w:r>
          </w:p>
        </w:tc>
      </w:tr>
      <w:tr w:rsidR="003A53BD" w:rsidTr="00B63CEC">
        <w:trPr>
          <w:trHeight w:val="240"/>
        </w:trPr>
        <w:tc>
          <w:tcPr>
            <w:tcW w:w="2802"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股东名称</w:t>
            </w:r>
          </w:p>
        </w:tc>
        <w:tc>
          <w:tcPr>
            <w:tcW w:w="1559"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股东性质</w:t>
            </w:r>
          </w:p>
        </w:tc>
        <w:tc>
          <w:tcPr>
            <w:tcW w:w="99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持股比例</w:t>
            </w:r>
          </w:p>
        </w:tc>
        <w:tc>
          <w:tcPr>
            <w:tcW w:w="1276"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持股数量</w:t>
            </w:r>
          </w:p>
        </w:tc>
        <w:tc>
          <w:tcPr>
            <w:tcW w:w="141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持有有限售条件的股份数量</w:t>
            </w:r>
          </w:p>
        </w:tc>
        <w:tc>
          <w:tcPr>
            <w:tcW w:w="159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质押、标记或冻结情况</w:t>
            </w:r>
          </w:p>
        </w:tc>
      </w:tr>
      <w:tr w:rsidR="003A53BD" w:rsidTr="00B63CEC">
        <w:trPr>
          <w:trHeight w:val="240"/>
        </w:trPr>
        <w:tc>
          <w:tcPr>
            <w:tcW w:w="2802"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3A53BD"/>
        </w:tc>
        <w:tc>
          <w:tcPr>
            <w:tcW w:w="1559"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3A53BD"/>
        </w:tc>
        <w:tc>
          <w:tcPr>
            <w:tcW w:w="99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3A53BD"/>
        </w:tc>
        <w:tc>
          <w:tcPr>
            <w:tcW w:w="1276"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3A53BD"/>
        </w:tc>
        <w:tc>
          <w:tcPr>
            <w:tcW w:w="141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3A53BD"/>
        </w:tc>
        <w:tc>
          <w:tcPr>
            <w:tcW w:w="99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股份状态</w:t>
            </w:r>
          </w:p>
        </w:tc>
        <w:tc>
          <w:tcPr>
            <w:tcW w:w="600" w:type="dxa"/>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center"/>
              <w:rPr>
                <w:rFonts w:ascii="宋体" w:hAnsi="宋体" w:cs="宋体"/>
                <w:sz w:val="18"/>
                <w:szCs w:val="18"/>
              </w:rPr>
            </w:pPr>
            <w:r>
              <w:rPr>
                <w:rFonts w:ascii="宋体" w:hAnsi="宋体" w:cs="宋体"/>
                <w:sz w:val="18"/>
                <w:szCs w:val="18"/>
              </w:rPr>
              <w:t>数量</w:t>
            </w:r>
          </w:p>
        </w:tc>
      </w:tr>
      <w:tr w:rsidR="003A53BD" w:rsidTr="00B63CEC">
        <w:trPr>
          <w:trHeight w:val="240"/>
        </w:trPr>
        <w:tc>
          <w:tcPr>
            <w:tcW w:w="2802"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华孚控股有限公司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境内非国有法人</w:t>
            </w:r>
          </w:p>
        </w:tc>
        <w:tc>
          <w:tcPr>
            <w:tcW w:w="992"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30.62%</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520,705,950</w:t>
            </w:r>
          </w:p>
        </w:tc>
        <w:tc>
          <w:tcPr>
            <w:tcW w:w="1417"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993" w:type="dxa"/>
            <w:gridSpan w:val="2"/>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left"/>
              <w:rPr>
                <w:rFonts w:ascii="宋体" w:hAnsi="宋体" w:cs="宋体"/>
                <w:sz w:val="18"/>
                <w:szCs w:val="18"/>
              </w:rPr>
            </w:pPr>
          </w:p>
        </w:tc>
        <w:tc>
          <w:tcPr>
            <w:tcW w:w="600" w:type="dxa"/>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right"/>
              <w:rPr>
                <w:rFonts w:ascii="宋体" w:hAnsi="宋体" w:cs="宋体"/>
                <w:sz w:val="18"/>
                <w:szCs w:val="18"/>
              </w:rPr>
            </w:pPr>
          </w:p>
        </w:tc>
      </w:tr>
      <w:tr w:rsidR="003A53BD" w:rsidTr="00B63CEC">
        <w:trPr>
          <w:trHeight w:val="240"/>
        </w:trPr>
        <w:tc>
          <w:tcPr>
            <w:tcW w:w="2802"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安徽飞亚纺织有限公司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境内非国有法人</w:t>
            </w:r>
          </w:p>
        </w:tc>
        <w:tc>
          <w:tcPr>
            <w:tcW w:w="992"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7.59%</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129,058,312</w:t>
            </w:r>
          </w:p>
        </w:tc>
        <w:tc>
          <w:tcPr>
            <w:tcW w:w="1417"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993" w:type="dxa"/>
            <w:gridSpan w:val="2"/>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left"/>
              <w:rPr>
                <w:rFonts w:ascii="宋体" w:hAnsi="宋体" w:cs="宋体"/>
                <w:sz w:val="18"/>
                <w:szCs w:val="18"/>
              </w:rPr>
            </w:pPr>
          </w:p>
        </w:tc>
        <w:tc>
          <w:tcPr>
            <w:tcW w:w="600" w:type="dxa"/>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right"/>
              <w:rPr>
                <w:rFonts w:ascii="宋体" w:hAnsi="宋体" w:cs="宋体"/>
                <w:sz w:val="18"/>
                <w:szCs w:val="18"/>
              </w:rPr>
            </w:pPr>
          </w:p>
        </w:tc>
      </w:tr>
      <w:tr w:rsidR="003A53BD" w:rsidTr="00B63CEC">
        <w:trPr>
          <w:trHeight w:val="240"/>
        </w:trPr>
        <w:tc>
          <w:tcPr>
            <w:tcW w:w="2802"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深圳市华人投资有限公司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境内非国有法人</w:t>
            </w:r>
          </w:p>
        </w:tc>
        <w:tc>
          <w:tcPr>
            <w:tcW w:w="992"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3.70%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62,923,500</w:t>
            </w:r>
          </w:p>
        </w:tc>
        <w:tc>
          <w:tcPr>
            <w:tcW w:w="1417"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993" w:type="dxa"/>
            <w:gridSpan w:val="2"/>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left"/>
              <w:rPr>
                <w:rFonts w:ascii="宋体" w:hAnsi="宋体" w:cs="宋体"/>
                <w:sz w:val="18"/>
                <w:szCs w:val="18"/>
              </w:rPr>
            </w:pPr>
          </w:p>
        </w:tc>
        <w:tc>
          <w:tcPr>
            <w:tcW w:w="600" w:type="dxa"/>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right"/>
              <w:rPr>
                <w:rFonts w:ascii="宋体" w:hAnsi="宋体" w:cs="宋体"/>
                <w:sz w:val="18"/>
                <w:szCs w:val="18"/>
              </w:rPr>
            </w:pPr>
          </w:p>
        </w:tc>
      </w:tr>
      <w:tr w:rsidR="003A53BD" w:rsidTr="00B63CEC">
        <w:trPr>
          <w:trHeight w:val="240"/>
        </w:trPr>
        <w:tc>
          <w:tcPr>
            <w:tcW w:w="2802"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金鹰基金－工商银行－万向信托－万向信托－星辰39号事务管理类单一资金信托</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其他</w:t>
            </w:r>
          </w:p>
        </w:tc>
        <w:tc>
          <w:tcPr>
            <w:tcW w:w="992"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2.72%</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46,199,861</w:t>
            </w:r>
          </w:p>
        </w:tc>
        <w:tc>
          <w:tcPr>
            <w:tcW w:w="1417"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993" w:type="dxa"/>
            <w:gridSpan w:val="2"/>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left"/>
              <w:rPr>
                <w:rFonts w:ascii="宋体" w:hAnsi="宋体" w:cs="宋体"/>
                <w:sz w:val="18"/>
                <w:szCs w:val="18"/>
              </w:rPr>
            </w:pPr>
          </w:p>
        </w:tc>
        <w:tc>
          <w:tcPr>
            <w:tcW w:w="600" w:type="dxa"/>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right"/>
              <w:rPr>
                <w:rFonts w:ascii="宋体" w:hAnsi="宋体" w:cs="宋体"/>
                <w:sz w:val="18"/>
                <w:szCs w:val="18"/>
              </w:rPr>
            </w:pPr>
          </w:p>
        </w:tc>
      </w:tr>
      <w:tr w:rsidR="003A53BD" w:rsidTr="00B63CEC">
        <w:trPr>
          <w:trHeight w:val="240"/>
        </w:trPr>
        <w:tc>
          <w:tcPr>
            <w:tcW w:w="2802"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广西沣盛供应链管理有限公司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境内非国有法人</w:t>
            </w:r>
          </w:p>
        </w:tc>
        <w:tc>
          <w:tcPr>
            <w:tcW w:w="992"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2.66%</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45,283,102</w:t>
            </w:r>
          </w:p>
        </w:tc>
        <w:tc>
          <w:tcPr>
            <w:tcW w:w="1417"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993"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质押</w:t>
            </w:r>
          </w:p>
        </w:tc>
        <w:tc>
          <w:tcPr>
            <w:tcW w:w="600"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45,166,402</w:t>
            </w:r>
          </w:p>
        </w:tc>
      </w:tr>
      <w:tr w:rsidR="003A53BD" w:rsidTr="00B63CEC">
        <w:trPr>
          <w:trHeight w:val="240"/>
        </w:trPr>
        <w:tc>
          <w:tcPr>
            <w:tcW w:w="2802"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金元顺安基金－兴业银行－上海爱建信托－爱建信托欣欣7号定向增发事务管理类单一资金信托</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其他</w:t>
            </w:r>
          </w:p>
        </w:tc>
        <w:tc>
          <w:tcPr>
            <w:tcW w:w="992"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2.46%</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41,781,004</w:t>
            </w:r>
          </w:p>
        </w:tc>
        <w:tc>
          <w:tcPr>
            <w:tcW w:w="1417"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993" w:type="dxa"/>
            <w:gridSpan w:val="2"/>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left"/>
              <w:rPr>
                <w:rFonts w:ascii="宋体" w:hAnsi="宋体" w:cs="宋体"/>
                <w:sz w:val="18"/>
                <w:szCs w:val="18"/>
              </w:rPr>
            </w:pPr>
          </w:p>
        </w:tc>
        <w:tc>
          <w:tcPr>
            <w:tcW w:w="600" w:type="dxa"/>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right"/>
              <w:rPr>
                <w:rFonts w:ascii="宋体" w:hAnsi="宋体" w:cs="宋体"/>
                <w:sz w:val="18"/>
                <w:szCs w:val="18"/>
              </w:rPr>
            </w:pPr>
          </w:p>
        </w:tc>
      </w:tr>
      <w:tr w:rsidR="003A53BD" w:rsidTr="00B63CEC">
        <w:trPr>
          <w:trHeight w:val="240"/>
        </w:trPr>
        <w:tc>
          <w:tcPr>
            <w:tcW w:w="2802"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杨三宝</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境内自然人</w:t>
            </w:r>
          </w:p>
        </w:tc>
        <w:tc>
          <w:tcPr>
            <w:tcW w:w="992"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2.38%</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40,552,500</w:t>
            </w:r>
          </w:p>
        </w:tc>
        <w:tc>
          <w:tcPr>
            <w:tcW w:w="1417"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993" w:type="dxa"/>
            <w:gridSpan w:val="2"/>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left"/>
              <w:rPr>
                <w:rFonts w:ascii="宋体" w:hAnsi="宋体" w:cs="宋体"/>
                <w:sz w:val="18"/>
                <w:szCs w:val="18"/>
              </w:rPr>
            </w:pPr>
          </w:p>
        </w:tc>
        <w:tc>
          <w:tcPr>
            <w:tcW w:w="600" w:type="dxa"/>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right"/>
              <w:rPr>
                <w:rFonts w:ascii="宋体" w:hAnsi="宋体" w:cs="宋体"/>
                <w:sz w:val="18"/>
                <w:szCs w:val="18"/>
              </w:rPr>
            </w:pPr>
          </w:p>
        </w:tc>
      </w:tr>
      <w:tr w:rsidR="003A53BD" w:rsidTr="00B63CEC">
        <w:trPr>
          <w:trHeight w:val="240"/>
        </w:trPr>
        <w:tc>
          <w:tcPr>
            <w:tcW w:w="2802"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香港中央结算有限公司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境外法人</w:t>
            </w:r>
          </w:p>
        </w:tc>
        <w:tc>
          <w:tcPr>
            <w:tcW w:w="992"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1.52%</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25,834,782</w:t>
            </w:r>
          </w:p>
        </w:tc>
        <w:tc>
          <w:tcPr>
            <w:tcW w:w="1417"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993" w:type="dxa"/>
            <w:gridSpan w:val="2"/>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left"/>
              <w:rPr>
                <w:rFonts w:ascii="宋体" w:hAnsi="宋体" w:cs="宋体"/>
                <w:sz w:val="18"/>
                <w:szCs w:val="18"/>
              </w:rPr>
            </w:pPr>
          </w:p>
        </w:tc>
        <w:tc>
          <w:tcPr>
            <w:tcW w:w="600" w:type="dxa"/>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right"/>
              <w:rPr>
                <w:rFonts w:ascii="宋体" w:hAnsi="宋体" w:cs="宋体"/>
                <w:sz w:val="18"/>
                <w:szCs w:val="18"/>
              </w:rPr>
            </w:pPr>
          </w:p>
        </w:tc>
      </w:tr>
      <w:tr w:rsidR="003A53BD" w:rsidTr="00B63CEC">
        <w:trPr>
          <w:trHeight w:val="240"/>
        </w:trPr>
        <w:tc>
          <w:tcPr>
            <w:tcW w:w="2802"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安徽省农业产业化发展基金有限公司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国有法人</w:t>
            </w:r>
          </w:p>
        </w:tc>
        <w:tc>
          <w:tcPr>
            <w:tcW w:w="992"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1.41%</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24,038,461</w:t>
            </w:r>
          </w:p>
        </w:tc>
        <w:tc>
          <w:tcPr>
            <w:tcW w:w="1417"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993" w:type="dxa"/>
            <w:gridSpan w:val="2"/>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left"/>
              <w:rPr>
                <w:rFonts w:ascii="宋体" w:hAnsi="宋体" w:cs="宋体"/>
                <w:sz w:val="18"/>
                <w:szCs w:val="18"/>
              </w:rPr>
            </w:pPr>
          </w:p>
        </w:tc>
        <w:tc>
          <w:tcPr>
            <w:tcW w:w="600" w:type="dxa"/>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right"/>
              <w:rPr>
                <w:rFonts w:ascii="宋体" w:hAnsi="宋体" w:cs="宋体"/>
                <w:sz w:val="18"/>
                <w:szCs w:val="18"/>
              </w:rPr>
            </w:pPr>
          </w:p>
        </w:tc>
      </w:tr>
      <w:tr w:rsidR="003A53BD" w:rsidTr="00B63CEC">
        <w:trPr>
          <w:trHeight w:val="240"/>
        </w:trPr>
        <w:tc>
          <w:tcPr>
            <w:tcW w:w="2802"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郭红松</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境内自然人</w:t>
            </w:r>
          </w:p>
        </w:tc>
        <w:tc>
          <w:tcPr>
            <w:tcW w:w="992"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1.01%</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17,100,000</w:t>
            </w:r>
          </w:p>
        </w:tc>
        <w:tc>
          <w:tcPr>
            <w:tcW w:w="1417" w:type="dxa"/>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right"/>
              <w:rPr>
                <w:rFonts w:ascii="宋体" w:hAnsi="宋体" w:cs="宋体"/>
                <w:sz w:val="18"/>
                <w:szCs w:val="18"/>
              </w:rPr>
            </w:pPr>
            <w:r>
              <w:rPr>
                <w:rFonts w:ascii="宋体" w:hAnsi="宋体" w:cs="宋体"/>
                <w:sz w:val="18"/>
                <w:szCs w:val="18"/>
              </w:rPr>
              <w:t>0</w:t>
            </w:r>
          </w:p>
        </w:tc>
        <w:tc>
          <w:tcPr>
            <w:tcW w:w="993" w:type="dxa"/>
            <w:gridSpan w:val="2"/>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left"/>
              <w:rPr>
                <w:rFonts w:ascii="宋体" w:hAnsi="宋体" w:cs="宋体"/>
                <w:sz w:val="18"/>
                <w:szCs w:val="18"/>
              </w:rPr>
            </w:pPr>
          </w:p>
        </w:tc>
        <w:tc>
          <w:tcPr>
            <w:tcW w:w="600" w:type="dxa"/>
            <w:tcBorders>
              <w:top w:val="single" w:sz="2" w:space="0" w:color="auto"/>
              <w:left w:val="single" w:sz="2" w:space="0" w:color="auto"/>
              <w:bottom w:val="single" w:sz="2" w:space="0" w:color="auto"/>
              <w:right w:val="single" w:sz="2" w:space="0" w:color="auto"/>
            </w:tcBorders>
            <w:vAlign w:val="center"/>
          </w:tcPr>
          <w:p w:rsidR="003A53BD" w:rsidRDefault="003A53BD">
            <w:pPr>
              <w:spacing w:line="240" w:lineRule="exact"/>
              <w:jc w:val="right"/>
              <w:rPr>
                <w:rFonts w:ascii="宋体" w:hAnsi="宋体" w:cs="宋体"/>
                <w:sz w:val="18"/>
                <w:szCs w:val="18"/>
              </w:rPr>
            </w:pPr>
          </w:p>
        </w:tc>
      </w:tr>
      <w:tr w:rsidR="003A53BD" w:rsidTr="00B63CEC">
        <w:trPr>
          <w:trHeight w:val="240"/>
        </w:trPr>
        <w:tc>
          <w:tcPr>
            <w:tcW w:w="4361"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上述股东关联关系或一致行动的说明</w:t>
            </w:r>
          </w:p>
        </w:tc>
        <w:tc>
          <w:tcPr>
            <w:tcW w:w="5278" w:type="dxa"/>
            <w:gridSpan w:val="7"/>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上述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rsidR="003A53BD" w:rsidTr="00B63CEC">
        <w:trPr>
          <w:trHeight w:val="240"/>
        </w:trPr>
        <w:tc>
          <w:tcPr>
            <w:tcW w:w="4361"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3A53BD" w:rsidRDefault="00FF4227">
            <w:pPr>
              <w:spacing w:before="40" w:after="40" w:line="240" w:lineRule="exact"/>
              <w:jc w:val="left"/>
              <w:rPr>
                <w:rFonts w:ascii="宋体" w:hAnsi="宋体" w:cs="宋体"/>
                <w:sz w:val="18"/>
                <w:szCs w:val="18"/>
              </w:rPr>
            </w:pPr>
            <w:r>
              <w:rPr>
                <w:rFonts w:ascii="宋体" w:hAnsi="宋体" w:cs="宋体"/>
                <w:sz w:val="18"/>
                <w:szCs w:val="18"/>
              </w:rPr>
              <w:t>参与融资融券业务股东情况说明（如有）</w:t>
            </w:r>
          </w:p>
        </w:tc>
        <w:tc>
          <w:tcPr>
            <w:tcW w:w="5278" w:type="dxa"/>
            <w:gridSpan w:val="7"/>
            <w:tcBorders>
              <w:top w:val="single" w:sz="2" w:space="0" w:color="auto"/>
              <w:left w:val="single" w:sz="2" w:space="0" w:color="auto"/>
              <w:bottom w:val="single" w:sz="2" w:space="0" w:color="auto"/>
              <w:right w:val="single" w:sz="2" w:space="0" w:color="auto"/>
            </w:tcBorders>
            <w:vAlign w:val="center"/>
          </w:tcPr>
          <w:p w:rsidR="003A53BD" w:rsidRDefault="00FF4227">
            <w:pPr>
              <w:spacing w:line="240" w:lineRule="exact"/>
              <w:jc w:val="left"/>
              <w:rPr>
                <w:rFonts w:ascii="宋体" w:hAnsi="宋体" w:cs="宋体"/>
                <w:sz w:val="18"/>
                <w:szCs w:val="18"/>
              </w:rPr>
            </w:pPr>
            <w:r>
              <w:rPr>
                <w:rFonts w:ascii="宋体" w:hAnsi="宋体" w:cs="宋体"/>
                <w:sz w:val="18"/>
                <w:szCs w:val="18"/>
              </w:rPr>
              <w:t>安徽飞亚纺织有限公司及深圳市华人投资有限公司通过信用账户持有公司部分股份。</w:t>
            </w:r>
          </w:p>
        </w:tc>
      </w:tr>
    </w:tbl>
    <w:p w:rsidR="003A53BD" w:rsidRDefault="00FF4227">
      <w:pPr>
        <w:keepNext/>
        <w:keepLines/>
        <w:spacing w:before="300" w:after="300" w:line="280" w:lineRule="exact"/>
        <w:jc w:val="left"/>
        <w:outlineLvl w:val="3"/>
        <w:rPr>
          <w:rFonts w:ascii="宋体" w:hAnsi="宋体" w:cs="宋体"/>
          <w:b/>
          <w:bCs/>
          <w:sz w:val="18"/>
          <w:szCs w:val="18"/>
        </w:rPr>
      </w:pPr>
      <w:bookmarkStart w:id="10" w:name="_Toc988898"/>
      <w:r>
        <w:rPr>
          <w:rFonts w:ascii="宋体" w:hAnsi="宋体" w:cs="宋体"/>
          <w:b/>
          <w:bCs/>
          <w:sz w:val="18"/>
          <w:szCs w:val="18"/>
        </w:rPr>
        <w:t>（2） 公司优先股股东总数及前10名优先股股东持股情况表</w:t>
      </w:r>
      <w:bookmarkEnd w:id="10"/>
    </w:p>
    <w:p w:rsidR="003A53BD" w:rsidRDefault="00FF4227">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公司报告期无优先股股东持股情况。</w:t>
      </w:r>
    </w:p>
    <w:p w:rsidR="003A53BD" w:rsidRDefault="00FF4227">
      <w:pPr>
        <w:keepNext/>
        <w:keepLines/>
        <w:spacing w:before="300" w:after="300" w:line="280" w:lineRule="exact"/>
        <w:jc w:val="left"/>
        <w:outlineLvl w:val="3"/>
        <w:rPr>
          <w:rFonts w:ascii="宋体" w:hAnsi="宋体" w:cs="宋体"/>
          <w:b/>
          <w:bCs/>
          <w:sz w:val="18"/>
          <w:szCs w:val="18"/>
        </w:rPr>
      </w:pPr>
      <w:bookmarkStart w:id="11" w:name="_Toc988899"/>
      <w:r>
        <w:rPr>
          <w:rFonts w:ascii="宋体" w:hAnsi="宋体" w:cs="宋体"/>
          <w:b/>
          <w:bCs/>
          <w:sz w:val="18"/>
          <w:szCs w:val="18"/>
        </w:rPr>
        <w:t>（3） 以方框图形式披露公司与实际控制人之间的产权及控制关系</w:t>
      </w:r>
      <w:bookmarkEnd w:id="11"/>
    </w:p>
    <w:p w:rsidR="003A53BD" w:rsidRDefault="00FF4227">
      <w:pPr>
        <w:spacing w:before="40" w:after="40" w:line="0" w:lineRule="atLeast"/>
      </w:pPr>
      <w:r>
        <w:rPr>
          <w:noProof/>
        </w:rPr>
        <w:drawing>
          <wp:inline distT="0" distB="0" distL="0" distR="0">
            <wp:extent cx="5895975" cy="24825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stretch>
                      <a:fillRect/>
                    </a:stretch>
                  </pic:blipFill>
                  <pic:spPr>
                    <a:xfrm>
                      <a:off x="0" y="0"/>
                      <a:ext cx="5906696" cy="2487030"/>
                    </a:xfrm>
                    <a:prstGeom prst="rect">
                      <a:avLst/>
                    </a:prstGeom>
                  </pic:spPr>
                </pic:pic>
              </a:graphicData>
            </a:graphic>
          </wp:inline>
        </w:drawing>
      </w:r>
    </w:p>
    <w:p w:rsidR="003A53BD" w:rsidRDefault="00FF4227">
      <w:pPr>
        <w:keepNext/>
        <w:keepLines/>
        <w:spacing w:before="300" w:after="300" w:line="280" w:lineRule="exact"/>
        <w:jc w:val="left"/>
        <w:outlineLvl w:val="2"/>
        <w:rPr>
          <w:rFonts w:ascii="宋体" w:hAnsi="宋体" w:cs="宋体"/>
          <w:b/>
          <w:bCs/>
          <w:szCs w:val="21"/>
        </w:rPr>
      </w:pPr>
      <w:bookmarkStart w:id="12" w:name="_Toc988900"/>
      <w:r>
        <w:rPr>
          <w:rFonts w:ascii="宋体" w:hAnsi="宋体" w:cs="宋体"/>
          <w:b/>
          <w:bCs/>
          <w:szCs w:val="21"/>
        </w:rPr>
        <w:t>5、在年度报告批准报出日存续的债券情况</w:t>
      </w:r>
      <w:bookmarkEnd w:id="12"/>
    </w:p>
    <w:p w:rsidR="003A53BD" w:rsidRDefault="00FF4227">
      <w:pPr>
        <w:spacing w:before="100" w:after="10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3A53BD" w:rsidRDefault="00FF4227">
      <w:pPr>
        <w:keepNext/>
        <w:keepLines/>
        <w:spacing w:before="300" w:after="300" w:line="320" w:lineRule="exact"/>
        <w:jc w:val="left"/>
        <w:outlineLvl w:val="1"/>
        <w:rPr>
          <w:rFonts w:ascii="宋体" w:hAnsi="宋体" w:cs="宋体"/>
          <w:b/>
          <w:bCs/>
          <w:sz w:val="24"/>
          <w:szCs w:val="24"/>
        </w:rPr>
      </w:pPr>
      <w:bookmarkStart w:id="13" w:name="_Toc988901"/>
      <w:r>
        <w:rPr>
          <w:rFonts w:ascii="宋体" w:hAnsi="宋体" w:cs="宋体"/>
          <w:b/>
          <w:bCs/>
          <w:sz w:val="24"/>
          <w:szCs w:val="24"/>
        </w:rPr>
        <w:t>三、重要事项</w:t>
      </w:r>
      <w:bookmarkEnd w:id="13"/>
    </w:p>
    <w:p w:rsidR="003A53BD" w:rsidRPr="00B63CEC" w:rsidRDefault="00FF4227" w:rsidP="00B63CEC">
      <w:pPr>
        <w:pStyle w:val="a3"/>
        <w:widowControl/>
        <w:spacing w:beforeAutospacing="0" w:afterAutospacing="0"/>
        <w:ind w:firstLine="420"/>
        <w:rPr>
          <w:rFonts w:asciiTheme="minorEastAsia" w:eastAsiaTheme="minorEastAsia" w:hAnsiTheme="minorEastAsia" w:cs="宋体"/>
          <w:sz w:val="18"/>
          <w:szCs w:val="18"/>
        </w:rPr>
      </w:pPr>
      <w:r w:rsidRPr="00B63CEC">
        <w:rPr>
          <w:rFonts w:asciiTheme="minorEastAsia" w:eastAsiaTheme="minorEastAsia" w:hAnsiTheme="minorEastAsia" w:cs="宋体" w:hint="eastAsia"/>
          <w:sz w:val="18"/>
          <w:szCs w:val="18"/>
        </w:rPr>
        <w:t>华孚时尚股份有限公司（以下简称“公司”）于</w:t>
      </w:r>
      <w:r w:rsidRPr="00B63CEC">
        <w:rPr>
          <w:rFonts w:asciiTheme="minorEastAsia" w:eastAsiaTheme="minorEastAsia" w:hAnsiTheme="minorEastAsia" w:cs="宋体"/>
          <w:sz w:val="18"/>
          <w:szCs w:val="18"/>
        </w:rPr>
        <w:t xml:space="preserve"> 2022 </w:t>
      </w:r>
      <w:r w:rsidRPr="00B63CEC">
        <w:rPr>
          <w:rFonts w:asciiTheme="minorEastAsia" w:eastAsiaTheme="minorEastAsia" w:hAnsiTheme="minorEastAsia" w:cs="宋体" w:hint="eastAsia"/>
          <w:sz w:val="18"/>
          <w:szCs w:val="18"/>
        </w:rPr>
        <w:t>年</w:t>
      </w:r>
      <w:r w:rsidRPr="00B63CEC">
        <w:rPr>
          <w:rFonts w:asciiTheme="minorEastAsia" w:eastAsiaTheme="minorEastAsia" w:hAnsiTheme="minorEastAsia" w:cs="宋体"/>
          <w:sz w:val="18"/>
          <w:szCs w:val="18"/>
        </w:rPr>
        <w:t xml:space="preserve"> 3 </w:t>
      </w:r>
      <w:r w:rsidRPr="00B63CEC">
        <w:rPr>
          <w:rFonts w:asciiTheme="minorEastAsia" w:eastAsiaTheme="minorEastAsia" w:hAnsiTheme="minorEastAsia" w:cs="宋体" w:hint="eastAsia"/>
          <w:sz w:val="18"/>
          <w:szCs w:val="18"/>
        </w:rPr>
        <w:t>月</w:t>
      </w:r>
      <w:r w:rsidRPr="00B63CEC">
        <w:rPr>
          <w:rFonts w:asciiTheme="minorEastAsia" w:eastAsiaTheme="minorEastAsia" w:hAnsiTheme="minorEastAsia" w:cs="宋体"/>
          <w:sz w:val="18"/>
          <w:szCs w:val="18"/>
        </w:rPr>
        <w:t xml:space="preserve"> 21 </w:t>
      </w:r>
      <w:r w:rsidRPr="00B63CEC">
        <w:rPr>
          <w:rFonts w:asciiTheme="minorEastAsia" w:eastAsiaTheme="minorEastAsia" w:hAnsiTheme="minorEastAsia" w:cs="宋体" w:hint="eastAsia"/>
          <w:sz w:val="18"/>
          <w:szCs w:val="18"/>
        </w:rPr>
        <w:t>日召开第八届董事会</w:t>
      </w:r>
      <w:r w:rsidRPr="00B63CEC">
        <w:rPr>
          <w:rFonts w:asciiTheme="minorEastAsia" w:eastAsiaTheme="minorEastAsia" w:hAnsiTheme="minorEastAsia" w:cs="宋体"/>
          <w:sz w:val="18"/>
          <w:szCs w:val="18"/>
        </w:rPr>
        <w:t xml:space="preserve"> 2022 </w:t>
      </w:r>
      <w:r w:rsidRPr="00B63CEC">
        <w:rPr>
          <w:rFonts w:asciiTheme="minorEastAsia" w:eastAsiaTheme="minorEastAsia" w:hAnsiTheme="minorEastAsia" w:cs="宋体" w:hint="eastAsia"/>
          <w:sz w:val="18"/>
          <w:szCs w:val="18"/>
        </w:rPr>
        <w:t>年第二次临时会议审议通过《关于回购公司股份方案的议案》，公司拟使用自有资金以集中竞价交易方式回购已发行的人民币普通股（</w:t>
      </w:r>
      <w:r w:rsidRPr="00B63CEC">
        <w:rPr>
          <w:rFonts w:asciiTheme="minorEastAsia" w:eastAsiaTheme="minorEastAsia" w:hAnsiTheme="minorEastAsia" w:cs="宋体"/>
          <w:sz w:val="18"/>
          <w:szCs w:val="18"/>
        </w:rPr>
        <w:t xml:space="preserve">A </w:t>
      </w:r>
      <w:r w:rsidRPr="00B63CEC">
        <w:rPr>
          <w:rFonts w:asciiTheme="minorEastAsia" w:eastAsiaTheme="minorEastAsia" w:hAnsiTheme="minorEastAsia" w:cs="宋体" w:hint="eastAsia"/>
          <w:sz w:val="18"/>
          <w:szCs w:val="18"/>
        </w:rPr>
        <w:t>股）股份，回购股份用于公司后续员工持股计划或者股权激励。回购总金额为不低于人民币</w:t>
      </w:r>
      <w:r w:rsidRPr="00B63CEC">
        <w:rPr>
          <w:rFonts w:asciiTheme="minorEastAsia" w:eastAsiaTheme="minorEastAsia" w:hAnsiTheme="minorEastAsia" w:cs="宋体"/>
          <w:sz w:val="18"/>
          <w:szCs w:val="18"/>
        </w:rPr>
        <w:t xml:space="preserve"> 5,000 </w:t>
      </w:r>
      <w:r w:rsidRPr="00B63CEC">
        <w:rPr>
          <w:rFonts w:asciiTheme="minorEastAsia" w:eastAsiaTheme="minorEastAsia" w:hAnsiTheme="minorEastAsia" w:cs="宋体" w:hint="eastAsia"/>
          <w:sz w:val="18"/>
          <w:szCs w:val="18"/>
        </w:rPr>
        <w:t>万元</w:t>
      </w:r>
      <w:r w:rsidRPr="00B63CEC">
        <w:rPr>
          <w:rFonts w:asciiTheme="minorEastAsia" w:eastAsiaTheme="minorEastAsia" w:hAnsiTheme="minorEastAsia" w:cs="宋体"/>
          <w:sz w:val="18"/>
          <w:szCs w:val="18"/>
        </w:rPr>
        <w:t>,</w:t>
      </w:r>
      <w:r w:rsidRPr="00B63CEC">
        <w:rPr>
          <w:rFonts w:asciiTheme="minorEastAsia" w:eastAsiaTheme="minorEastAsia" w:hAnsiTheme="minorEastAsia" w:cs="宋体" w:hint="eastAsia"/>
          <w:sz w:val="18"/>
          <w:szCs w:val="18"/>
        </w:rPr>
        <w:t>不超过人民币</w:t>
      </w:r>
      <w:r w:rsidRPr="00B63CEC">
        <w:rPr>
          <w:rFonts w:asciiTheme="minorEastAsia" w:eastAsiaTheme="minorEastAsia" w:hAnsiTheme="minorEastAsia" w:cs="宋体"/>
          <w:sz w:val="18"/>
          <w:szCs w:val="18"/>
        </w:rPr>
        <w:t xml:space="preserve"> 10,000 </w:t>
      </w:r>
      <w:r w:rsidRPr="00B63CEC">
        <w:rPr>
          <w:rFonts w:asciiTheme="minorEastAsia" w:eastAsiaTheme="minorEastAsia" w:hAnsiTheme="minorEastAsia" w:cs="宋体" w:hint="eastAsia"/>
          <w:sz w:val="18"/>
          <w:szCs w:val="18"/>
        </w:rPr>
        <w:t>万元，回购价格不超过</w:t>
      </w:r>
      <w:r w:rsidRPr="00B63CEC">
        <w:rPr>
          <w:rFonts w:asciiTheme="minorEastAsia" w:eastAsiaTheme="minorEastAsia" w:hAnsiTheme="minorEastAsia" w:cs="宋体"/>
          <w:sz w:val="18"/>
          <w:szCs w:val="18"/>
        </w:rPr>
        <w:t xml:space="preserve"> 6.50 </w:t>
      </w:r>
      <w:r w:rsidRPr="00B63CEC">
        <w:rPr>
          <w:rFonts w:asciiTheme="minorEastAsia" w:eastAsiaTheme="minorEastAsia" w:hAnsiTheme="minorEastAsia" w:cs="宋体" w:hint="eastAsia"/>
          <w:sz w:val="18"/>
          <w:szCs w:val="18"/>
        </w:rPr>
        <w:t>元</w:t>
      </w:r>
      <w:r w:rsidRPr="00B63CEC">
        <w:rPr>
          <w:rFonts w:asciiTheme="minorEastAsia" w:eastAsiaTheme="minorEastAsia" w:hAnsiTheme="minorEastAsia" w:cs="宋体"/>
          <w:sz w:val="18"/>
          <w:szCs w:val="18"/>
        </w:rPr>
        <w:t>/</w:t>
      </w:r>
      <w:r w:rsidRPr="00B63CEC">
        <w:rPr>
          <w:rFonts w:asciiTheme="minorEastAsia" w:eastAsiaTheme="minorEastAsia" w:hAnsiTheme="minorEastAsia" w:cs="宋体" w:hint="eastAsia"/>
          <w:sz w:val="18"/>
          <w:szCs w:val="18"/>
        </w:rPr>
        <w:t>股。2022年3月21日，公司于</w:t>
      </w:r>
      <w:r w:rsidRPr="00B63CEC">
        <w:rPr>
          <w:rFonts w:asciiTheme="minorEastAsia" w:eastAsiaTheme="minorEastAsia" w:hAnsiTheme="minorEastAsia" w:cs="宋体"/>
          <w:sz w:val="18"/>
          <w:szCs w:val="18"/>
        </w:rPr>
        <w:t>《中国证券报》、《证券时报》、巨潮资讯网（</w:t>
      </w:r>
      <w:r w:rsidRPr="00B63CEC">
        <w:rPr>
          <w:rFonts w:asciiTheme="minorEastAsia" w:eastAsiaTheme="minorEastAsia" w:hAnsiTheme="minorEastAsia" w:cs="宋体" w:hint="eastAsia"/>
          <w:sz w:val="18"/>
          <w:szCs w:val="18"/>
        </w:rPr>
        <w:t>www.cninfo.com.cn)披露《关于回购公司股份方案的公告》（2022-13）。</w:t>
      </w:r>
    </w:p>
    <w:p w:rsidR="003A53BD" w:rsidRDefault="00FF4227" w:rsidP="00B63CEC">
      <w:pPr>
        <w:pStyle w:val="a3"/>
        <w:widowControl/>
        <w:spacing w:beforeAutospacing="0" w:afterAutospacing="0"/>
        <w:ind w:firstLine="420"/>
        <w:rPr>
          <w:rFonts w:asciiTheme="minorEastAsia" w:eastAsiaTheme="minorEastAsia" w:hAnsiTheme="minorEastAsia" w:cs="宋体"/>
          <w:sz w:val="18"/>
          <w:szCs w:val="18"/>
        </w:rPr>
      </w:pPr>
      <w:r w:rsidRPr="00B63CEC">
        <w:rPr>
          <w:rFonts w:asciiTheme="minorEastAsia" w:eastAsiaTheme="minorEastAsia" w:hAnsiTheme="minorEastAsia" w:cs="宋体" w:hint="eastAsia"/>
          <w:sz w:val="18"/>
          <w:szCs w:val="18"/>
        </w:rPr>
        <w:t>截至2022年12月31日，公司通过股份回购专用证券账户以集中竞价方式回购股份数量13,024,600股，占公司目前总股本的0. 77%。最高成交价格3.67元/股，最低成交价格3.52元/股，成交总金额为46,967, 927.00元（不含手续费）。截至2023年3月20日，公司本次股份回购已完成。在回购期间，公司通过股份回购专用证券账户以集中竞价交易方式累计回购公司股票29,800,000股，占公司总股本的1.75%（以公司截止2023年3月20日总股本1,700,681,355股为基准），实际回购期间为2022年4月28日至2023年3月20日，其中最高成交价为3.67元/股，最低成交价为3.04元/股，成交总金额为人民99,916,654.12元（不含交易费用）。本次回购符合相关法律法规的要求，符合公司既定的回购方案，本次回购股份方案已实施完毕。</w:t>
      </w:r>
    </w:p>
    <w:p w:rsidR="00B63CEC" w:rsidRDefault="00B63CEC" w:rsidP="00B63CEC">
      <w:pPr>
        <w:pStyle w:val="a3"/>
        <w:widowControl/>
        <w:spacing w:beforeAutospacing="0" w:afterAutospacing="0"/>
        <w:ind w:firstLine="420"/>
        <w:jc w:val="right"/>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华孚时尚股份有限公司董事会</w:t>
      </w:r>
    </w:p>
    <w:p w:rsidR="00B63CEC" w:rsidRPr="00B63CEC" w:rsidRDefault="00B63CEC" w:rsidP="00B63CEC">
      <w:pPr>
        <w:pStyle w:val="a3"/>
        <w:widowControl/>
        <w:spacing w:beforeAutospacing="0" w:afterAutospacing="0"/>
        <w:ind w:firstLine="420"/>
        <w:jc w:val="right"/>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2023年4月29日</w:t>
      </w:r>
    </w:p>
    <w:sectPr w:rsidR="00B63CEC" w:rsidRPr="00B63CEC">
      <w:headerReference w:type="default" r:id="rId9"/>
      <w:footerReference w:type="default" r:id="rId10"/>
      <w:pgSz w:w="11905" w:h="16840"/>
      <w:pgMar w:top="850" w:right="1134" w:bottom="85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227" w:rsidRDefault="00FF4227">
      <w:r>
        <w:separator/>
      </w:r>
    </w:p>
  </w:endnote>
  <w:endnote w:type="continuationSeparator" w:id="0">
    <w:p w:rsidR="00FF4227" w:rsidRDefault="00FF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3BD" w:rsidRDefault="00FF4227">
    <w:pPr>
      <w:jc w:val="center"/>
    </w:pPr>
    <w:r>
      <w:rPr>
        <w:rFonts w:ascii="仿宋" w:eastAsia="仿宋"/>
        <w:szCs w:val="21"/>
      </w:rPr>
      <w:fldChar w:fldCharType="begin"/>
    </w:r>
    <w:r>
      <w:rPr>
        <w:rFonts w:ascii="仿宋" w:eastAsia="仿宋"/>
        <w:szCs w:val="21"/>
      </w:rPr>
      <w:instrText>PAGE   \* MERGEFORMAT</w:instrText>
    </w:r>
    <w:r>
      <w:rPr>
        <w:rFonts w:ascii="仿宋" w:eastAsia="仿宋"/>
        <w:szCs w:val="21"/>
      </w:rPr>
      <w:fldChar w:fldCharType="separate"/>
    </w:r>
    <w:r w:rsidR="003E2933">
      <w:rPr>
        <w:rFonts w:ascii="仿宋" w:eastAsia="仿宋"/>
        <w:noProof/>
        <w:szCs w:val="21"/>
      </w:rPr>
      <w:t>1</w:t>
    </w:r>
    <w:r>
      <w:rPr>
        <w:rFonts w:ascii="仿宋" w:eastAsia="仿宋"/>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227" w:rsidRDefault="00FF4227">
      <w:r>
        <w:separator/>
      </w:r>
    </w:p>
  </w:footnote>
  <w:footnote w:type="continuationSeparator" w:id="0">
    <w:p w:rsidR="00FF4227" w:rsidRDefault="00FF4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3BD" w:rsidRDefault="00FF4227">
    <w:pPr>
      <w:pBdr>
        <w:bottom w:val="single" w:sz="6" w:space="1" w:color="auto"/>
      </w:pBdr>
      <w:jc w:val="right"/>
    </w:pPr>
    <w:r>
      <w:rPr>
        <w:rFonts w:ascii="宋体"/>
        <w:sz w:val="18"/>
        <w:szCs w:val="18"/>
      </w:rPr>
      <w:t>华孚时尚股份有限公司2022年年度报告摘要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savePreviewPicture/>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4"/>
  </w:compat>
  <w:docVars>
    <w:docVar w:name="commondata" w:val="eyJoZGlkIjoiNzVlODY1MzA0YjNiZDMyMmRlYTlhMDJhYzZhZDQ5ODgifQ=="/>
  </w:docVars>
  <w:rsids>
    <w:rsidRoot w:val="003A53BD"/>
    <w:rsid w:val="003A53BD"/>
    <w:rsid w:val="003E2933"/>
    <w:rsid w:val="00B63CEC"/>
    <w:rsid w:val="00FF4227"/>
    <w:rsid w:val="2EBE0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sz w:val="24"/>
    </w:rPr>
  </w:style>
  <w:style w:type="paragraph" w:styleId="a4">
    <w:name w:val="header"/>
    <w:basedOn w:val="a"/>
    <w:link w:val="Char"/>
    <w:rsid w:val="00B63C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63CEC"/>
    <w:rPr>
      <w:sz w:val="18"/>
      <w:szCs w:val="18"/>
    </w:rPr>
  </w:style>
  <w:style w:type="paragraph" w:styleId="a5">
    <w:name w:val="footer"/>
    <w:basedOn w:val="a"/>
    <w:link w:val="Char0"/>
    <w:rsid w:val="00B63CEC"/>
    <w:pPr>
      <w:tabs>
        <w:tab w:val="center" w:pos="4153"/>
        <w:tab w:val="right" w:pos="8306"/>
      </w:tabs>
      <w:snapToGrid w:val="0"/>
      <w:jc w:val="left"/>
    </w:pPr>
    <w:rPr>
      <w:sz w:val="18"/>
      <w:szCs w:val="18"/>
    </w:rPr>
  </w:style>
  <w:style w:type="character" w:customStyle="1" w:styleId="Char0">
    <w:name w:val="页脚 Char"/>
    <w:basedOn w:val="a0"/>
    <w:link w:val="a5"/>
    <w:rsid w:val="00B63CEC"/>
    <w:rPr>
      <w:sz w:val="18"/>
      <w:szCs w:val="18"/>
    </w:rPr>
  </w:style>
  <w:style w:type="paragraph" w:styleId="a6">
    <w:name w:val="Balloon Text"/>
    <w:basedOn w:val="a"/>
    <w:link w:val="Char1"/>
    <w:rsid w:val="00B63CEC"/>
    <w:rPr>
      <w:sz w:val="18"/>
      <w:szCs w:val="18"/>
    </w:rPr>
  </w:style>
  <w:style w:type="character" w:customStyle="1" w:styleId="Char1">
    <w:name w:val="批注框文本 Char"/>
    <w:basedOn w:val="a0"/>
    <w:link w:val="a6"/>
    <w:rsid w:val="00B63C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sz w:val="24"/>
    </w:rPr>
  </w:style>
  <w:style w:type="paragraph" w:styleId="a4">
    <w:name w:val="header"/>
    <w:basedOn w:val="a"/>
    <w:link w:val="Char"/>
    <w:rsid w:val="00B63C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63CEC"/>
    <w:rPr>
      <w:sz w:val="18"/>
      <w:szCs w:val="18"/>
    </w:rPr>
  </w:style>
  <w:style w:type="paragraph" w:styleId="a5">
    <w:name w:val="footer"/>
    <w:basedOn w:val="a"/>
    <w:link w:val="Char0"/>
    <w:rsid w:val="00B63CEC"/>
    <w:pPr>
      <w:tabs>
        <w:tab w:val="center" w:pos="4153"/>
        <w:tab w:val="right" w:pos="8306"/>
      </w:tabs>
      <w:snapToGrid w:val="0"/>
      <w:jc w:val="left"/>
    </w:pPr>
    <w:rPr>
      <w:sz w:val="18"/>
      <w:szCs w:val="18"/>
    </w:rPr>
  </w:style>
  <w:style w:type="character" w:customStyle="1" w:styleId="Char0">
    <w:name w:val="页脚 Char"/>
    <w:basedOn w:val="a0"/>
    <w:link w:val="a5"/>
    <w:rsid w:val="00B63CEC"/>
    <w:rPr>
      <w:sz w:val="18"/>
      <w:szCs w:val="18"/>
    </w:rPr>
  </w:style>
  <w:style w:type="paragraph" w:styleId="a6">
    <w:name w:val="Balloon Text"/>
    <w:basedOn w:val="a"/>
    <w:link w:val="Char1"/>
    <w:rsid w:val="00B63CEC"/>
    <w:rPr>
      <w:sz w:val="18"/>
      <w:szCs w:val="18"/>
    </w:rPr>
  </w:style>
  <w:style w:type="character" w:customStyle="1" w:styleId="Char1">
    <w:name w:val="批注框文本 Char"/>
    <w:basedOn w:val="a0"/>
    <w:link w:val="a6"/>
    <w:rsid w:val="00B63C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652</Words>
  <Characters>3719</Characters>
  <Application>Microsoft Office Word</Application>
  <DocSecurity>0</DocSecurity>
  <Lines>30</Lines>
  <Paragraphs>8</Paragraphs>
  <ScaleCrop>false</ScaleCrop>
  <Company/>
  <LinksUpToDate>false</LinksUpToDate>
  <CharactersWithSpaces>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wangshuying</dc:creator>
  <cp:lastModifiedBy>孙献</cp:lastModifiedBy>
  <cp:revision>3</cp:revision>
  <dcterms:created xsi:type="dcterms:W3CDTF">2023-04-28T10:35:00Z</dcterms:created>
  <dcterms:modified xsi:type="dcterms:W3CDTF">2023-04-28T12:08:00Z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67D3A0E97B624263A8DCFDC777D9F06C_12</vt:lpwstr>
  </property>
</Properties>
</file>