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122" w:rsidRDefault="00946CCC" w:rsidP="00D35B95">
      <w:pPr>
        <w:spacing w:before="200" w:after="360" w:line="560" w:lineRule="exact"/>
        <w:jc w:val="center"/>
        <w:rPr>
          <w:rFonts w:ascii="宋体" w:eastAsia="宋体" w:hAnsi="宋体" w:cs="宋体"/>
          <w:sz w:val="18"/>
          <w:szCs w:val="18"/>
        </w:rPr>
      </w:pPr>
      <w:r>
        <w:rPr>
          <w:rFonts w:ascii="宋体" w:eastAsia="宋体" w:hAnsi="宋体" w:cs="宋体"/>
          <w:sz w:val="18"/>
          <w:szCs w:val="18"/>
        </w:rPr>
        <w:t>证券代码：</w:t>
      </w:r>
      <w:r>
        <w:rPr>
          <w:rFonts w:ascii="宋体" w:eastAsia="宋体" w:hAnsi="宋体" w:cs="宋体"/>
          <w:sz w:val="18"/>
          <w:szCs w:val="18"/>
        </w:rPr>
        <w:t xml:space="preserve">002042        </w:t>
      </w:r>
      <w:r w:rsidR="00D35B95">
        <w:rPr>
          <w:rFonts w:ascii="宋体" w:eastAsia="宋体" w:hAnsi="宋体" w:cs="宋体" w:hint="eastAsia"/>
          <w:sz w:val="18"/>
          <w:szCs w:val="18"/>
        </w:rPr>
        <w:t xml:space="preserve">     </w:t>
      </w:r>
      <w:r>
        <w:rPr>
          <w:rFonts w:ascii="宋体" w:eastAsia="宋体" w:hAnsi="宋体" w:cs="宋体"/>
          <w:sz w:val="18"/>
          <w:szCs w:val="18"/>
        </w:rPr>
        <w:t xml:space="preserve">        </w:t>
      </w:r>
      <w:r>
        <w:rPr>
          <w:rFonts w:ascii="宋体" w:eastAsia="宋体" w:hAnsi="宋体" w:cs="宋体"/>
          <w:sz w:val="18"/>
          <w:szCs w:val="18"/>
        </w:rPr>
        <w:t>证券简称：华孚时尚</w:t>
      </w:r>
      <w:r>
        <w:rPr>
          <w:rFonts w:ascii="宋体" w:eastAsia="宋体" w:hAnsi="宋体" w:cs="宋体"/>
          <w:sz w:val="18"/>
          <w:szCs w:val="18"/>
        </w:rPr>
        <w:t xml:space="preserve">           </w:t>
      </w:r>
      <w:r w:rsidR="00D35B95">
        <w:rPr>
          <w:rFonts w:ascii="宋体" w:eastAsia="宋体" w:hAnsi="宋体" w:cs="宋体" w:hint="eastAsia"/>
          <w:sz w:val="18"/>
          <w:szCs w:val="18"/>
        </w:rPr>
        <w:t xml:space="preserve">     </w:t>
      </w:r>
      <w:r>
        <w:rPr>
          <w:rFonts w:ascii="宋体" w:eastAsia="宋体" w:hAnsi="宋体" w:cs="宋体"/>
          <w:sz w:val="18"/>
          <w:szCs w:val="18"/>
        </w:rPr>
        <w:t xml:space="preserve">     </w:t>
      </w:r>
      <w:r>
        <w:rPr>
          <w:rFonts w:ascii="宋体" w:eastAsia="宋体" w:hAnsi="宋体" w:cs="宋体"/>
          <w:sz w:val="18"/>
          <w:szCs w:val="18"/>
        </w:rPr>
        <w:t>公告编号：</w:t>
      </w:r>
      <w:r w:rsidR="00D35B95">
        <w:rPr>
          <w:rFonts w:ascii="宋体" w:eastAsia="宋体" w:hAnsi="宋体" w:cs="宋体" w:hint="eastAsia"/>
          <w:sz w:val="18"/>
          <w:szCs w:val="18"/>
        </w:rPr>
        <w:t>2023-17</w:t>
      </w:r>
    </w:p>
    <w:p w:rsidR="00901122" w:rsidRDefault="00946CCC">
      <w:pPr>
        <w:spacing w:before="200" w:after="200" w:line="400" w:lineRule="exact"/>
        <w:jc w:val="center"/>
        <w:rPr>
          <w:rFonts w:ascii="宋体" w:eastAsia="宋体" w:hAnsi="宋体" w:cs="宋体"/>
          <w:b/>
          <w:bCs/>
          <w:sz w:val="32"/>
          <w:szCs w:val="32"/>
        </w:rPr>
      </w:pPr>
      <w:r>
        <w:rPr>
          <w:rFonts w:ascii="宋体" w:eastAsia="宋体" w:hAnsi="宋体" w:cs="宋体"/>
          <w:b/>
          <w:bCs/>
          <w:sz w:val="32"/>
          <w:szCs w:val="32"/>
        </w:rPr>
        <w:t>华孚时尚股份有限公司</w:t>
      </w:r>
    </w:p>
    <w:p w:rsidR="00901122" w:rsidRDefault="00946CCC">
      <w:pPr>
        <w:spacing w:before="200" w:after="200" w:line="400" w:lineRule="exact"/>
        <w:jc w:val="center"/>
        <w:rPr>
          <w:rFonts w:ascii="宋体" w:eastAsia="宋体" w:hAnsi="宋体" w:cs="宋体"/>
          <w:b/>
          <w:bCs/>
          <w:sz w:val="32"/>
          <w:szCs w:val="32"/>
        </w:rPr>
      </w:pPr>
      <w:r>
        <w:rPr>
          <w:rFonts w:ascii="宋体" w:eastAsia="宋体" w:hAnsi="宋体" w:cs="宋体"/>
          <w:b/>
          <w:bCs/>
          <w:sz w:val="32"/>
          <w:szCs w:val="32"/>
        </w:rPr>
        <w:t>2023</w:t>
      </w:r>
      <w:r>
        <w:rPr>
          <w:rFonts w:ascii="宋体" w:eastAsia="宋体" w:hAnsi="宋体" w:cs="宋体"/>
          <w:b/>
          <w:bCs/>
          <w:sz w:val="32"/>
          <w:szCs w:val="32"/>
        </w:rPr>
        <w:t>年第一季度报告</w:t>
      </w:r>
    </w:p>
    <w:p w:rsidR="00901122" w:rsidRDefault="00946CCC">
      <w:pPr>
        <w:pBdr>
          <w:top w:val="single" w:sz="4" w:space="1" w:color="auto"/>
          <w:left w:val="single" w:sz="4" w:space="4" w:color="auto"/>
          <w:bottom w:val="single" w:sz="4" w:space="1" w:color="auto"/>
          <w:right w:val="single" w:sz="4" w:space="4" w:color="auto"/>
          <w:bar w:val="single" w:sz="4" w:color="auto"/>
        </w:pBdr>
        <w:spacing w:before="100" w:after="100" w:line="400" w:lineRule="exact"/>
        <w:ind w:firstLineChars="200" w:firstLine="360"/>
        <w:rPr>
          <w:rFonts w:ascii="宋体" w:eastAsia="宋体" w:hAnsi="宋体" w:cs="宋体"/>
          <w:sz w:val="18"/>
          <w:szCs w:val="18"/>
        </w:rPr>
      </w:pPr>
      <w:r>
        <w:rPr>
          <w:rFonts w:ascii="宋体" w:eastAsia="宋体" w:hAnsi="宋体" w:cs="宋体"/>
          <w:sz w:val="18"/>
          <w:szCs w:val="18"/>
        </w:rPr>
        <w:t>本公司及董事会全体成员保证信息披露的内容真实、准确、完整，没有虚假记载、误导性陈述或重大遗漏。</w:t>
      </w:r>
    </w:p>
    <w:p w:rsidR="00901122" w:rsidRDefault="00946CCC">
      <w:pPr>
        <w:spacing w:before="40" w:after="40" w:line="420" w:lineRule="exact"/>
        <w:rPr>
          <w:rFonts w:ascii="宋体" w:eastAsia="宋体" w:hAnsi="宋体" w:cs="宋体"/>
          <w:b/>
          <w:bCs/>
          <w:sz w:val="24"/>
          <w:szCs w:val="24"/>
        </w:rPr>
      </w:pPr>
      <w:r>
        <w:rPr>
          <w:rFonts w:ascii="宋体" w:eastAsia="宋体" w:hAnsi="宋体" w:cs="宋体"/>
          <w:b/>
          <w:bCs/>
          <w:sz w:val="24"/>
          <w:szCs w:val="24"/>
        </w:rPr>
        <w:t>重要内容提示：</w:t>
      </w:r>
    </w:p>
    <w:p w:rsidR="00901122" w:rsidRDefault="00946CCC">
      <w:pPr>
        <w:spacing w:before="100" w:after="100" w:line="40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董事会、监事会及董事、监事、高级管理人员保证季度报告的真实、准确、完整，不存在虚假记载、误导性陈述或重大遗漏，并承担个别和连带的法律责任。</w:t>
      </w:r>
      <w:bookmarkStart w:id="0" w:name="_GoBack"/>
      <w:bookmarkEnd w:id="0"/>
    </w:p>
    <w:p w:rsidR="00901122" w:rsidRDefault="00946CCC">
      <w:pPr>
        <w:spacing w:before="100" w:after="100" w:line="40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公司负责人、主管会计工作负责人及会计机构负责人</w:t>
      </w:r>
      <w:r>
        <w:rPr>
          <w:rFonts w:ascii="宋体" w:eastAsia="宋体" w:hAnsi="宋体" w:cs="宋体"/>
          <w:sz w:val="18"/>
          <w:szCs w:val="18"/>
        </w:rPr>
        <w:t>(</w:t>
      </w:r>
      <w:r>
        <w:rPr>
          <w:rFonts w:ascii="宋体" w:eastAsia="宋体" w:hAnsi="宋体" w:cs="宋体"/>
          <w:sz w:val="18"/>
          <w:szCs w:val="18"/>
        </w:rPr>
        <w:t>会计主管人员</w:t>
      </w:r>
      <w:r>
        <w:rPr>
          <w:rFonts w:ascii="宋体" w:eastAsia="宋体" w:hAnsi="宋体" w:cs="宋体"/>
          <w:sz w:val="18"/>
          <w:szCs w:val="18"/>
        </w:rPr>
        <w:t>)</w:t>
      </w:r>
      <w:r>
        <w:rPr>
          <w:rFonts w:ascii="宋体" w:eastAsia="宋体" w:hAnsi="宋体" w:cs="宋体"/>
          <w:sz w:val="18"/>
          <w:szCs w:val="18"/>
        </w:rPr>
        <w:t>声明：保证季度报告中财务信息的真实、准确、完整。</w:t>
      </w:r>
    </w:p>
    <w:p w:rsidR="00901122" w:rsidRDefault="00946CCC">
      <w:pPr>
        <w:spacing w:before="100" w:after="100" w:line="40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第一季度报告是否经审计</w:t>
      </w:r>
    </w:p>
    <w:p w:rsidR="00901122" w:rsidRDefault="00946CCC">
      <w:pPr>
        <w:spacing w:before="100" w:after="100" w:line="40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901122" w:rsidRDefault="00946CCC">
      <w:r>
        <w:br w:type="page"/>
      </w:r>
    </w:p>
    <w:p w:rsidR="00901122" w:rsidRDefault="00946CCC">
      <w:pPr>
        <w:pStyle w:val="headingh1"/>
        <w:spacing w:before="300" w:after="300" w:line="320" w:lineRule="exact"/>
        <w:rPr>
          <w:rFonts w:ascii="宋体" w:eastAsia="宋体" w:hAnsi="宋体" w:cs="宋体"/>
          <w:b/>
          <w:bCs/>
          <w:sz w:val="24"/>
          <w:szCs w:val="24"/>
        </w:rPr>
      </w:pPr>
      <w:bookmarkStart w:id="1" w:name="_Toc988889"/>
      <w:r>
        <w:rPr>
          <w:rFonts w:ascii="宋体" w:eastAsia="宋体" w:hAnsi="宋体" w:cs="宋体"/>
          <w:b/>
          <w:bCs/>
          <w:sz w:val="24"/>
          <w:szCs w:val="24"/>
        </w:rPr>
        <w:lastRenderedPageBreak/>
        <w:t>一、主要财务数据</w:t>
      </w:r>
      <w:bookmarkEnd w:id="1"/>
    </w:p>
    <w:p w:rsidR="00901122" w:rsidRDefault="00946CCC">
      <w:pPr>
        <w:pStyle w:val="2"/>
        <w:spacing w:before="300" w:after="300" w:line="280" w:lineRule="exact"/>
        <w:rPr>
          <w:rFonts w:ascii="宋体" w:eastAsia="宋体" w:hAnsi="宋体" w:cs="宋体"/>
          <w:b/>
          <w:bCs/>
        </w:rPr>
      </w:pPr>
      <w:bookmarkStart w:id="2" w:name="_Toc988890"/>
      <w:r>
        <w:rPr>
          <w:rFonts w:ascii="宋体" w:eastAsia="宋体" w:hAnsi="宋体" w:cs="宋体"/>
          <w:b/>
          <w:bCs/>
        </w:rPr>
        <w:t>（一）</w:t>
      </w:r>
      <w:r>
        <w:rPr>
          <w:rFonts w:ascii="宋体" w:eastAsia="宋体" w:hAnsi="宋体" w:cs="宋体"/>
          <w:b/>
          <w:bCs/>
        </w:rPr>
        <w:t xml:space="preserve"> </w:t>
      </w:r>
      <w:r>
        <w:rPr>
          <w:rFonts w:ascii="宋体" w:eastAsia="宋体" w:hAnsi="宋体" w:cs="宋体"/>
          <w:b/>
          <w:bCs/>
        </w:rPr>
        <w:t>主要会计数据和财务指标</w:t>
      </w:r>
      <w:bookmarkEnd w:id="2"/>
    </w:p>
    <w:p w:rsidR="00901122" w:rsidRDefault="00946CCC">
      <w:pPr>
        <w:spacing w:before="40" w:after="4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901122" w:rsidRDefault="00946CCC">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794"/>
        <w:gridCol w:w="2268"/>
        <w:gridCol w:w="1843"/>
        <w:gridCol w:w="1734"/>
      </w:tblGrid>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226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本报告期比上年同期增减（</w:t>
            </w:r>
            <w:r>
              <w:rPr>
                <w:rFonts w:ascii="宋体" w:eastAsia="宋体" w:hAnsi="宋体" w:cs="宋体"/>
                <w:sz w:val="18"/>
                <w:szCs w:val="18"/>
              </w:rPr>
              <w:t>%</w:t>
            </w:r>
            <w:r>
              <w:rPr>
                <w:rFonts w:ascii="宋体" w:eastAsia="宋体" w:hAnsi="宋体" w:cs="宋体"/>
                <w:sz w:val="18"/>
                <w:szCs w:val="18"/>
              </w:rPr>
              <w:t>）</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营业收入（元）</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4,532,846,687.35</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4,147,121,738.76</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9.30%</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51,972,113.03</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150,058,072.74</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-65.37%</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49,839,611.97</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132,151,829.13</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-62.29%</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429,659,649.05</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687,085,984.34</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-37.47%</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基本每股收益（元</w:t>
            </w:r>
            <w:r>
              <w:rPr>
                <w:rFonts w:ascii="宋体" w:eastAsia="宋体" w:hAnsi="宋体" w:cs="宋体"/>
                <w:sz w:val="18"/>
                <w:szCs w:val="18"/>
              </w:rPr>
              <w:t>/</w:t>
            </w:r>
            <w:r>
              <w:rPr>
                <w:rFonts w:ascii="宋体" w:eastAsia="宋体" w:hAnsi="宋体" w:cs="宋体"/>
                <w:sz w:val="18"/>
                <w:szCs w:val="18"/>
              </w:rPr>
              <w:t>股）</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-66.67%</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稀释每股收益（元</w:t>
            </w:r>
            <w:r>
              <w:rPr>
                <w:rFonts w:ascii="宋体" w:eastAsia="宋体" w:hAnsi="宋体" w:cs="宋体"/>
                <w:sz w:val="18"/>
                <w:szCs w:val="18"/>
              </w:rPr>
              <w:t>/</w:t>
            </w:r>
            <w:r>
              <w:rPr>
                <w:rFonts w:ascii="宋体" w:eastAsia="宋体" w:hAnsi="宋体" w:cs="宋体"/>
                <w:sz w:val="18"/>
                <w:szCs w:val="18"/>
              </w:rPr>
              <w:t>股）</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-66.67%</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0.82%</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2.12%</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-1.30%</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226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r>
              <w:rPr>
                <w:rFonts w:ascii="宋体" w:eastAsia="宋体" w:hAnsi="宋体" w:cs="宋体"/>
                <w:sz w:val="18"/>
                <w:szCs w:val="18"/>
              </w:rPr>
              <w:t>%</w:t>
            </w:r>
            <w:r>
              <w:rPr>
                <w:rFonts w:ascii="宋体" w:eastAsia="宋体" w:hAnsi="宋体" w:cs="宋体"/>
                <w:sz w:val="18"/>
                <w:szCs w:val="18"/>
              </w:rPr>
              <w:t>）</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总资产（元）</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18,263,900,329.20</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18,144,000,776.77</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0.66%</w:t>
            </w:r>
          </w:p>
        </w:tc>
      </w:tr>
      <w:tr w:rsidR="00901122" w:rsidTr="00D35B95">
        <w:trPr>
          <w:trHeight w:val="240"/>
        </w:trPr>
        <w:tc>
          <w:tcPr>
            <w:tcW w:w="3794"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归属于上市公司股东的所有者权益（元）</w:t>
            </w:r>
          </w:p>
        </w:tc>
        <w:tc>
          <w:tcPr>
            <w:tcW w:w="2268"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6,235,472,613.28</w:t>
            </w:r>
          </w:p>
        </w:tc>
        <w:tc>
          <w:tcPr>
            <w:tcW w:w="184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1734"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-0.91%</w:t>
            </w:r>
          </w:p>
        </w:tc>
      </w:tr>
    </w:tbl>
    <w:p w:rsidR="00901122" w:rsidRDefault="00946CCC">
      <w:pPr>
        <w:pStyle w:val="2"/>
        <w:spacing w:before="300" w:after="300" w:line="280" w:lineRule="exact"/>
        <w:rPr>
          <w:rFonts w:ascii="宋体" w:eastAsia="宋体" w:hAnsi="宋体" w:cs="宋体"/>
          <w:b/>
          <w:bCs/>
        </w:rPr>
      </w:pPr>
      <w:bookmarkStart w:id="3" w:name="_Toc988891"/>
      <w:r>
        <w:rPr>
          <w:rFonts w:ascii="宋体" w:eastAsia="宋体" w:hAnsi="宋体" w:cs="宋体"/>
          <w:b/>
          <w:bCs/>
        </w:rPr>
        <w:t>（二）</w:t>
      </w:r>
      <w:r>
        <w:rPr>
          <w:rFonts w:ascii="宋体" w:eastAsia="宋体" w:hAnsi="宋体" w:cs="宋体"/>
          <w:b/>
          <w:bCs/>
        </w:rPr>
        <w:t xml:space="preserve"> </w:t>
      </w:r>
      <w:r>
        <w:rPr>
          <w:rFonts w:ascii="宋体" w:eastAsia="宋体" w:hAnsi="宋体" w:cs="宋体"/>
          <w:b/>
          <w:bCs/>
        </w:rPr>
        <w:t>非经常性损益项目和金额</w:t>
      </w:r>
      <w:bookmarkEnd w:id="3"/>
    </w:p>
    <w:p w:rsidR="00901122" w:rsidRDefault="00946CCC">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38"/>
        <w:gridCol w:w="1559"/>
        <w:gridCol w:w="742"/>
      </w:tblGrid>
      <w:tr w:rsidR="00901122" w:rsidTr="00D35B95">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本报告期金额</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说明</w:t>
            </w:r>
          </w:p>
        </w:tc>
      </w:tr>
      <w:tr w:rsidR="00901122" w:rsidTr="00D35B95">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非流动资产处置损益（包括已计提资产减值准备的冲销部分）</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2,250,557.21</w:t>
            </w:r>
          </w:p>
        </w:tc>
        <w:tc>
          <w:tcPr>
            <w:tcW w:w="742"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r>
      <w:tr w:rsidR="00901122" w:rsidTr="00D35B95">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计入当期损益的政府补助（与公司正常经营业务密切相关，符合国家政策规定、按照一定标准定额或定量持续享受的政府补助除外）</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8,504,178.90</w:t>
            </w:r>
          </w:p>
        </w:tc>
        <w:tc>
          <w:tcPr>
            <w:tcW w:w="742"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r>
      <w:tr w:rsidR="00901122" w:rsidTr="00D35B95">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-9,847,621.22</w:t>
            </w:r>
          </w:p>
        </w:tc>
        <w:tc>
          <w:tcPr>
            <w:tcW w:w="742"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r>
      <w:tr w:rsidR="00901122" w:rsidTr="00D35B95">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-771,274.88</w:t>
            </w:r>
          </w:p>
        </w:tc>
        <w:tc>
          <w:tcPr>
            <w:tcW w:w="742"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r>
      <w:tr w:rsidR="00901122" w:rsidTr="00D35B95">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减：所得税影响额</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657,750.11</w:t>
            </w:r>
          </w:p>
        </w:tc>
        <w:tc>
          <w:tcPr>
            <w:tcW w:w="742"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r>
      <w:tr w:rsidR="00901122" w:rsidTr="00D35B95">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-2,654,411.16</w:t>
            </w:r>
          </w:p>
        </w:tc>
        <w:tc>
          <w:tcPr>
            <w:tcW w:w="742"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r>
      <w:tr w:rsidR="00901122" w:rsidTr="00D35B95">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2,132,501.06</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bl>
    <w:p w:rsidR="00901122" w:rsidRDefault="00946CCC">
      <w:pPr>
        <w:spacing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901122" w:rsidRDefault="00946CCC">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901122" w:rsidRDefault="00946CCC">
      <w:pPr>
        <w:spacing w:before="40" w:after="4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901122" w:rsidRDefault="00946CCC">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w:t>
      </w:r>
      <w:r>
        <w:rPr>
          <w:rFonts w:ascii="宋体" w:eastAsia="宋体" w:hAnsi="宋体" w:cs="宋体"/>
          <w:sz w:val="18"/>
          <w:szCs w:val="18"/>
        </w:rPr>
        <w:t>1</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非经常性损益》中列举的非经常性损益项目界定为经常性损益项目的情况说明</w:t>
      </w:r>
    </w:p>
    <w:p w:rsidR="00901122" w:rsidRDefault="00946CCC">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901122" w:rsidRDefault="00946CCC">
      <w:pPr>
        <w:spacing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w:t>
      </w:r>
      <w:r>
        <w:rPr>
          <w:rFonts w:ascii="宋体" w:eastAsia="宋体" w:hAnsi="宋体" w:cs="宋体"/>
          <w:sz w:val="18"/>
          <w:szCs w:val="18"/>
        </w:rPr>
        <w:t>1</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非经常性损益》中列举的非经常性损益项目界定为经常性损益的项目的情形。</w:t>
      </w:r>
    </w:p>
    <w:p w:rsidR="00901122" w:rsidRDefault="00946CCC">
      <w:pPr>
        <w:pStyle w:val="2"/>
        <w:spacing w:before="300" w:after="300" w:line="280" w:lineRule="exact"/>
        <w:rPr>
          <w:rFonts w:ascii="宋体" w:eastAsia="宋体" w:hAnsi="宋体" w:cs="宋体"/>
          <w:b/>
          <w:bCs/>
        </w:rPr>
      </w:pPr>
      <w:bookmarkStart w:id="4" w:name="_Toc988892"/>
      <w:r>
        <w:rPr>
          <w:rFonts w:ascii="宋体" w:eastAsia="宋体" w:hAnsi="宋体" w:cs="宋体"/>
          <w:b/>
          <w:bCs/>
        </w:rPr>
        <w:t>（三）</w:t>
      </w:r>
      <w:r>
        <w:rPr>
          <w:rFonts w:ascii="宋体" w:eastAsia="宋体" w:hAnsi="宋体" w:cs="宋体"/>
          <w:b/>
          <w:bCs/>
        </w:rPr>
        <w:t xml:space="preserve"> </w:t>
      </w:r>
      <w:r>
        <w:rPr>
          <w:rFonts w:ascii="宋体" w:eastAsia="宋体" w:hAnsi="宋体" w:cs="宋体"/>
          <w:b/>
          <w:bCs/>
        </w:rPr>
        <w:t>主要会计数据和财务指标发生变动的情况及原因</w:t>
      </w:r>
      <w:bookmarkEnd w:id="4"/>
    </w:p>
    <w:p w:rsidR="00901122" w:rsidRDefault="00946CCC">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tbl>
      <w:tblPr>
        <w:tblW w:w="10075" w:type="dxa"/>
        <w:jc w:val="center"/>
        <w:tblLayout w:type="fixed"/>
        <w:tblCellMar>
          <w:left w:w="0" w:type="dxa"/>
          <w:right w:w="0" w:type="dxa"/>
        </w:tblCellMar>
        <w:tblLook w:val="04A0" w:firstRow="1" w:lastRow="0" w:firstColumn="1" w:lastColumn="0" w:noHBand="0" w:noVBand="1"/>
      </w:tblPr>
      <w:tblGrid>
        <w:gridCol w:w="3039"/>
        <w:gridCol w:w="1505"/>
        <w:gridCol w:w="1629"/>
        <w:gridCol w:w="1134"/>
        <w:gridCol w:w="2768"/>
      </w:tblGrid>
      <w:tr w:rsidR="00D35B95" w:rsidTr="00D35B95">
        <w:trPr>
          <w:divId w:val="150026141"/>
          <w:cantSplit/>
          <w:trHeight w:val="300"/>
          <w:jc w:val="center"/>
        </w:trPr>
        <w:tc>
          <w:tcPr>
            <w:tcW w:w="3039" w:type="dxa"/>
            <w:tcBorders>
              <w:top w:val="single" w:sz="8" w:space="0" w:color="auto"/>
              <w:left w:val="single" w:sz="8" w:space="0" w:color="auto"/>
              <w:bottom w:val="single" w:sz="8" w:space="0" w:color="auto"/>
              <w:right w:val="single" w:sz="8" w:space="0" w:color="auto"/>
            </w:tcBorders>
            <w:vAlign w:val="center"/>
            <w:hideMark/>
          </w:tcPr>
          <w:p w:rsidR="00000000" w:rsidRDefault="00946CCC">
            <w:pPr>
              <w:jc w:val="center"/>
              <w:rPr>
                <w:rFonts w:ascii="Times New Roman" w:eastAsia="宋体" w:hAnsi="Times New Roman" w:cs="Times New Roman"/>
                <w:sz w:val="18"/>
                <w:szCs w:val="18"/>
              </w:rPr>
            </w:pPr>
            <w:r>
              <w:rPr>
                <w:rFonts w:ascii="Times New Roman" w:hAnsi="Times New Roman" w:cs="Times New Roman"/>
                <w:sz w:val="18"/>
                <w:szCs w:val="18"/>
              </w:rPr>
              <w:t xml:space="preserve">　</w:t>
            </w:r>
          </w:p>
        </w:tc>
        <w:tc>
          <w:tcPr>
            <w:tcW w:w="1505" w:type="dxa"/>
            <w:tcBorders>
              <w:top w:val="single" w:sz="8" w:space="0" w:color="auto"/>
              <w:left w:val="nil"/>
              <w:bottom w:val="single" w:sz="8" w:space="0" w:color="auto"/>
              <w:right w:val="single" w:sz="8" w:space="0" w:color="auto"/>
            </w:tcBorders>
            <w:vAlign w:val="center"/>
            <w:hideMark/>
          </w:tcPr>
          <w:p w:rsidR="00000000" w:rsidRDefault="00946CCC">
            <w:pPr>
              <w:jc w:val="center"/>
              <w:rPr>
                <w:rFonts w:ascii="宋体" w:eastAsia="宋体" w:hAnsi="宋体" w:cs="宋体"/>
                <w:sz w:val="18"/>
                <w:szCs w:val="18"/>
              </w:rPr>
            </w:pPr>
            <w:r>
              <w:rPr>
                <w:rFonts w:hint="eastAsia"/>
                <w:sz w:val="18"/>
                <w:szCs w:val="18"/>
              </w:rPr>
              <w:t>本报告期</w:t>
            </w:r>
          </w:p>
        </w:tc>
        <w:tc>
          <w:tcPr>
            <w:tcW w:w="1629" w:type="dxa"/>
            <w:tcBorders>
              <w:top w:val="single" w:sz="8" w:space="0" w:color="auto"/>
              <w:left w:val="nil"/>
              <w:bottom w:val="single" w:sz="8" w:space="0" w:color="auto"/>
              <w:right w:val="single" w:sz="8" w:space="0" w:color="auto"/>
            </w:tcBorders>
            <w:vAlign w:val="center"/>
            <w:hideMark/>
          </w:tcPr>
          <w:p w:rsidR="00000000" w:rsidRDefault="00946CCC">
            <w:pPr>
              <w:jc w:val="center"/>
              <w:rPr>
                <w:rFonts w:ascii="宋体" w:eastAsia="宋体" w:hAnsi="宋体" w:cs="宋体"/>
                <w:sz w:val="18"/>
                <w:szCs w:val="18"/>
              </w:rPr>
            </w:pPr>
            <w:r>
              <w:rPr>
                <w:rFonts w:hint="eastAsia"/>
                <w:sz w:val="18"/>
                <w:szCs w:val="18"/>
              </w:rPr>
              <w:t>上年同期</w:t>
            </w:r>
          </w:p>
        </w:tc>
        <w:tc>
          <w:tcPr>
            <w:tcW w:w="1134" w:type="dxa"/>
            <w:tcBorders>
              <w:top w:val="single" w:sz="8" w:space="0" w:color="auto"/>
              <w:left w:val="nil"/>
              <w:bottom w:val="single" w:sz="8" w:space="0" w:color="auto"/>
              <w:right w:val="single" w:sz="8" w:space="0" w:color="auto"/>
            </w:tcBorders>
            <w:vAlign w:val="center"/>
            <w:hideMark/>
          </w:tcPr>
          <w:p w:rsidR="00000000" w:rsidRDefault="00946CCC">
            <w:pPr>
              <w:jc w:val="center"/>
              <w:rPr>
                <w:rFonts w:ascii="宋体" w:eastAsia="宋体" w:hAnsi="宋体" w:cs="宋体"/>
                <w:sz w:val="18"/>
                <w:szCs w:val="18"/>
              </w:rPr>
            </w:pPr>
            <w:r>
              <w:rPr>
                <w:rFonts w:hint="eastAsia"/>
                <w:sz w:val="18"/>
                <w:szCs w:val="18"/>
              </w:rPr>
              <w:t>本报告期比上年同期增减</w:t>
            </w:r>
          </w:p>
        </w:tc>
        <w:tc>
          <w:tcPr>
            <w:tcW w:w="2768" w:type="dxa"/>
            <w:tcBorders>
              <w:top w:val="single" w:sz="4" w:space="0" w:color="auto"/>
              <w:left w:val="single" w:sz="4" w:space="0" w:color="auto"/>
              <w:bottom w:val="single" w:sz="4" w:space="0" w:color="auto"/>
              <w:right w:val="single" w:sz="4" w:space="0" w:color="auto"/>
            </w:tcBorders>
            <w:vAlign w:val="center"/>
            <w:hideMark/>
          </w:tcPr>
          <w:p w:rsidR="00000000" w:rsidRDefault="00946CCC">
            <w:pPr>
              <w:jc w:val="center"/>
              <w:rPr>
                <w:rFonts w:ascii="宋体" w:eastAsia="宋体" w:hAnsi="宋体" w:cs="宋体"/>
                <w:sz w:val="18"/>
                <w:szCs w:val="18"/>
              </w:rPr>
            </w:pPr>
            <w:r>
              <w:rPr>
                <w:rFonts w:hint="eastAsia"/>
                <w:sz w:val="18"/>
                <w:szCs w:val="18"/>
              </w:rPr>
              <w:t>变动原因</w:t>
            </w:r>
          </w:p>
        </w:tc>
      </w:tr>
      <w:tr w:rsidR="00D35B95" w:rsidTr="00D35B95">
        <w:trPr>
          <w:divId w:val="150026141"/>
          <w:cantSplit/>
          <w:trHeight w:val="300"/>
          <w:jc w:val="center"/>
        </w:trPr>
        <w:tc>
          <w:tcPr>
            <w:tcW w:w="3039" w:type="dxa"/>
            <w:tcBorders>
              <w:top w:val="nil"/>
              <w:left w:val="single" w:sz="8" w:space="0" w:color="auto"/>
              <w:bottom w:val="single" w:sz="8" w:space="0" w:color="auto"/>
              <w:right w:val="single" w:sz="8" w:space="0" w:color="auto"/>
            </w:tcBorders>
            <w:vAlign w:val="center"/>
            <w:hideMark/>
          </w:tcPr>
          <w:p w:rsidR="00000000" w:rsidRDefault="00946CCC">
            <w:pPr>
              <w:rPr>
                <w:rFonts w:ascii="宋体" w:eastAsia="宋体" w:hAnsi="宋体" w:cs="宋体"/>
                <w:sz w:val="18"/>
                <w:szCs w:val="18"/>
              </w:rPr>
            </w:pPr>
            <w:r>
              <w:rPr>
                <w:rFonts w:hint="eastAsia"/>
                <w:sz w:val="18"/>
                <w:szCs w:val="18"/>
              </w:rPr>
              <w:t>归属于上市公司股东的净利润（元）</w:t>
            </w:r>
          </w:p>
        </w:tc>
        <w:tc>
          <w:tcPr>
            <w:tcW w:w="1505" w:type="dxa"/>
            <w:tcBorders>
              <w:top w:val="nil"/>
              <w:left w:val="nil"/>
              <w:bottom w:val="single" w:sz="8" w:space="0" w:color="auto"/>
              <w:right w:val="single" w:sz="8" w:space="0" w:color="auto"/>
            </w:tcBorders>
            <w:vAlign w:val="center"/>
            <w:hideMark/>
          </w:tcPr>
          <w:p w:rsidR="00000000" w:rsidRDefault="00946CCC">
            <w:pPr>
              <w:jc w:val="right"/>
              <w:rPr>
                <w:rFonts w:ascii="Times New Roman" w:eastAsia="宋体" w:hAnsi="Times New Roman" w:cs="Times New Roman"/>
                <w:sz w:val="18"/>
                <w:szCs w:val="18"/>
              </w:rPr>
            </w:pPr>
            <w:r>
              <w:rPr>
                <w:rFonts w:ascii="Times New Roman" w:hAnsi="Times New Roman" w:cs="Times New Roman"/>
                <w:sz w:val="18"/>
                <w:szCs w:val="18"/>
              </w:rPr>
              <w:t>         51,972,113.03</w:t>
            </w:r>
          </w:p>
        </w:tc>
        <w:tc>
          <w:tcPr>
            <w:tcW w:w="1629" w:type="dxa"/>
            <w:tcBorders>
              <w:top w:val="nil"/>
              <w:left w:val="nil"/>
              <w:bottom w:val="single" w:sz="8" w:space="0" w:color="auto"/>
              <w:right w:val="single" w:sz="8" w:space="0" w:color="auto"/>
            </w:tcBorders>
            <w:vAlign w:val="center"/>
            <w:hideMark/>
          </w:tcPr>
          <w:p w:rsidR="00000000" w:rsidRDefault="00D35B95">
            <w:pPr>
              <w:jc w:val="right"/>
              <w:rPr>
                <w:rFonts w:ascii="Times New Roman" w:eastAsia="宋体" w:hAnsi="Times New Roman" w:cs="Times New Roman"/>
                <w:sz w:val="18"/>
                <w:szCs w:val="18"/>
              </w:rPr>
            </w:pPr>
            <w:r>
              <w:rPr>
                <w:rFonts w:ascii="Times New Roman" w:hAnsi="Times New Roman" w:cs="Times New Roman"/>
                <w:sz w:val="18"/>
                <w:szCs w:val="18"/>
              </w:rPr>
              <w:t>      </w:t>
            </w:r>
            <w:r w:rsidR="00946CCC">
              <w:rPr>
                <w:rFonts w:ascii="Times New Roman" w:hAnsi="Times New Roman" w:cs="Times New Roman"/>
                <w:sz w:val="18"/>
                <w:szCs w:val="18"/>
              </w:rPr>
              <w:t>  150,058,072.74</w:t>
            </w:r>
          </w:p>
        </w:tc>
        <w:tc>
          <w:tcPr>
            <w:tcW w:w="1134" w:type="dxa"/>
            <w:tcBorders>
              <w:top w:val="nil"/>
              <w:left w:val="nil"/>
              <w:bottom w:val="single" w:sz="8" w:space="0" w:color="auto"/>
              <w:right w:val="single" w:sz="8" w:space="0" w:color="auto"/>
            </w:tcBorders>
            <w:vAlign w:val="center"/>
            <w:hideMark/>
          </w:tcPr>
          <w:p w:rsidR="00000000" w:rsidRDefault="00946CCC">
            <w:pPr>
              <w:jc w:val="right"/>
              <w:rPr>
                <w:rFonts w:ascii="Times New Roman" w:eastAsia="宋体" w:hAnsi="Times New Roman" w:cs="Times New Roman"/>
                <w:sz w:val="18"/>
                <w:szCs w:val="18"/>
              </w:rPr>
            </w:pPr>
            <w:r>
              <w:rPr>
                <w:rFonts w:ascii="Times New Roman" w:hAnsi="Times New Roman" w:cs="Times New Roman"/>
                <w:sz w:val="18"/>
                <w:szCs w:val="18"/>
              </w:rPr>
              <w:t>-65.37%</w:t>
            </w:r>
          </w:p>
        </w:tc>
        <w:tc>
          <w:tcPr>
            <w:tcW w:w="2768" w:type="dxa"/>
            <w:tcBorders>
              <w:top w:val="nil"/>
              <w:left w:val="nil"/>
              <w:bottom w:val="single" w:sz="8" w:space="0" w:color="auto"/>
              <w:right w:val="single" w:sz="8" w:space="0" w:color="auto"/>
            </w:tcBorders>
            <w:noWrap/>
            <w:vAlign w:val="center"/>
            <w:hideMark/>
          </w:tcPr>
          <w:p w:rsidR="00000000" w:rsidRDefault="00946CCC">
            <w:pPr>
              <w:rPr>
                <w:rFonts w:ascii="宋体" w:eastAsia="宋体" w:hAnsi="宋体" w:cs="宋体"/>
                <w:sz w:val="20"/>
                <w:szCs w:val="20"/>
              </w:rPr>
            </w:pPr>
            <w:r>
              <w:rPr>
                <w:rFonts w:hint="eastAsia"/>
                <w:sz w:val="20"/>
                <w:szCs w:val="20"/>
              </w:rPr>
              <w:t>主要系订单影响导致毛利减少</w:t>
            </w:r>
          </w:p>
        </w:tc>
      </w:tr>
      <w:tr w:rsidR="00D35B95" w:rsidTr="00D35B95">
        <w:trPr>
          <w:divId w:val="150026141"/>
          <w:cantSplit/>
          <w:trHeight w:val="300"/>
          <w:jc w:val="center"/>
        </w:trPr>
        <w:tc>
          <w:tcPr>
            <w:tcW w:w="3039" w:type="dxa"/>
            <w:tcBorders>
              <w:top w:val="nil"/>
              <w:left w:val="single" w:sz="8" w:space="0" w:color="auto"/>
              <w:bottom w:val="single" w:sz="8" w:space="0" w:color="auto"/>
              <w:right w:val="single" w:sz="8" w:space="0" w:color="auto"/>
            </w:tcBorders>
            <w:vAlign w:val="center"/>
            <w:hideMark/>
          </w:tcPr>
          <w:p w:rsidR="00000000" w:rsidRDefault="00946CCC">
            <w:pPr>
              <w:rPr>
                <w:rFonts w:ascii="宋体" w:eastAsia="宋体" w:hAnsi="宋体" w:cs="宋体"/>
                <w:sz w:val="18"/>
                <w:szCs w:val="18"/>
              </w:rPr>
            </w:pPr>
            <w:r>
              <w:rPr>
                <w:rFonts w:hint="eastAsia"/>
                <w:sz w:val="18"/>
                <w:szCs w:val="18"/>
              </w:rPr>
              <w:t>归属于上市公司股东的扣除非经常性损益的净利润（元）</w:t>
            </w:r>
          </w:p>
        </w:tc>
        <w:tc>
          <w:tcPr>
            <w:tcW w:w="1505" w:type="dxa"/>
            <w:tcBorders>
              <w:top w:val="nil"/>
              <w:left w:val="nil"/>
              <w:bottom w:val="single" w:sz="8" w:space="0" w:color="auto"/>
              <w:right w:val="single" w:sz="8" w:space="0" w:color="auto"/>
            </w:tcBorders>
            <w:vAlign w:val="center"/>
            <w:hideMark/>
          </w:tcPr>
          <w:p w:rsidR="00000000" w:rsidRDefault="00946CCC">
            <w:pPr>
              <w:jc w:val="right"/>
              <w:rPr>
                <w:rFonts w:ascii="Times New Roman" w:eastAsia="宋体" w:hAnsi="Times New Roman" w:cs="Times New Roman"/>
                <w:sz w:val="18"/>
                <w:szCs w:val="18"/>
              </w:rPr>
            </w:pPr>
            <w:r>
              <w:rPr>
                <w:rFonts w:ascii="Times New Roman" w:hAnsi="Times New Roman" w:cs="Times New Roman"/>
                <w:sz w:val="18"/>
                <w:szCs w:val="18"/>
              </w:rPr>
              <w:t>         49,839,611.97</w:t>
            </w:r>
          </w:p>
        </w:tc>
        <w:tc>
          <w:tcPr>
            <w:tcW w:w="1629" w:type="dxa"/>
            <w:tcBorders>
              <w:top w:val="nil"/>
              <w:left w:val="nil"/>
              <w:bottom w:val="single" w:sz="8" w:space="0" w:color="auto"/>
              <w:right w:val="single" w:sz="8" w:space="0" w:color="auto"/>
            </w:tcBorders>
            <w:vAlign w:val="center"/>
            <w:hideMark/>
          </w:tcPr>
          <w:p w:rsidR="00000000" w:rsidRDefault="00D35B95">
            <w:pPr>
              <w:jc w:val="right"/>
              <w:rPr>
                <w:rFonts w:ascii="Times New Roman" w:eastAsia="宋体" w:hAnsi="Times New Roman" w:cs="Times New Roman"/>
                <w:sz w:val="18"/>
                <w:szCs w:val="18"/>
              </w:rPr>
            </w:pPr>
            <w:r>
              <w:rPr>
                <w:rFonts w:ascii="Times New Roman" w:hAnsi="Times New Roman" w:cs="Times New Roman"/>
                <w:sz w:val="18"/>
                <w:szCs w:val="18"/>
              </w:rPr>
              <w:t>      </w:t>
            </w:r>
            <w:r w:rsidR="00946CCC">
              <w:rPr>
                <w:rFonts w:ascii="Times New Roman" w:hAnsi="Times New Roman" w:cs="Times New Roman"/>
                <w:sz w:val="18"/>
                <w:szCs w:val="18"/>
              </w:rPr>
              <w:t>  132,151,829.13</w:t>
            </w:r>
          </w:p>
        </w:tc>
        <w:tc>
          <w:tcPr>
            <w:tcW w:w="1134" w:type="dxa"/>
            <w:tcBorders>
              <w:top w:val="nil"/>
              <w:left w:val="nil"/>
              <w:bottom w:val="single" w:sz="8" w:space="0" w:color="auto"/>
              <w:right w:val="single" w:sz="8" w:space="0" w:color="auto"/>
            </w:tcBorders>
            <w:vAlign w:val="center"/>
            <w:hideMark/>
          </w:tcPr>
          <w:p w:rsidR="00000000" w:rsidRDefault="00946CCC">
            <w:pPr>
              <w:jc w:val="right"/>
              <w:rPr>
                <w:rFonts w:ascii="Times New Roman" w:eastAsia="宋体" w:hAnsi="Times New Roman" w:cs="Times New Roman"/>
                <w:sz w:val="18"/>
                <w:szCs w:val="18"/>
              </w:rPr>
            </w:pPr>
            <w:r>
              <w:rPr>
                <w:rFonts w:ascii="Times New Roman" w:hAnsi="Times New Roman" w:cs="Times New Roman"/>
                <w:sz w:val="18"/>
                <w:szCs w:val="18"/>
              </w:rPr>
              <w:t>-62.29%</w:t>
            </w:r>
          </w:p>
        </w:tc>
        <w:tc>
          <w:tcPr>
            <w:tcW w:w="2768" w:type="dxa"/>
            <w:tcBorders>
              <w:top w:val="nil"/>
              <w:left w:val="nil"/>
              <w:bottom w:val="single" w:sz="8" w:space="0" w:color="auto"/>
              <w:right w:val="single" w:sz="8" w:space="0" w:color="auto"/>
            </w:tcBorders>
            <w:noWrap/>
            <w:vAlign w:val="center"/>
            <w:hideMark/>
          </w:tcPr>
          <w:p w:rsidR="00000000" w:rsidRDefault="00946CCC">
            <w:pPr>
              <w:rPr>
                <w:rFonts w:ascii="宋体" w:eastAsia="宋体" w:hAnsi="宋体" w:cs="宋体"/>
                <w:sz w:val="20"/>
                <w:szCs w:val="20"/>
              </w:rPr>
            </w:pPr>
            <w:r>
              <w:rPr>
                <w:rFonts w:hint="eastAsia"/>
                <w:sz w:val="20"/>
                <w:szCs w:val="20"/>
              </w:rPr>
              <w:t>主要系订单影响导致毛利减少</w:t>
            </w:r>
          </w:p>
        </w:tc>
      </w:tr>
      <w:tr w:rsidR="00D35B95" w:rsidTr="00D35B95">
        <w:trPr>
          <w:divId w:val="150026141"/>
          <w:cantSplit/>
          <w:trHeight w:val="300"/>
          <w:jc w:val="center"/>
        </w:trPr>
        <w:tc>
          <w:tcPr>
            <w:tcW w:w="3039" w:type="dxa"/>
            <w:tcBorders>
              <w:top w:val="nil"/>
              <w:left w:val="single" w:sz="8" w:space="0" w:color="auto"/>
              <w:bottom w:val="single" w:sz="8" w:space="0" w:color="auto"/>
              <w:right w:val="single" w:sz="8" w:space="0" w:color="auto"/>
            </w:tcBorders>
            <w:vAlign w:val="center"/>
            <w:hideMark/>
          </w:tcPr>
          <w:p w:rsidR="00000000" w:rsidRDefault="00946CCC">
            <w:pPr>
              <w:rPr>
                <w:rFonts w:ascii="宋体" w:eastAsia="宋体" w:hAnsi="宋体" w:cs="宋体"/>
                <w:sz w:val="18"/>
                <w:szCs w:val="18"/>
              </w:rPr>
            </w:pPr>
            <w:r>
              <w:rPr>
                <w:rFonts w:hint="eastAsia"/>
                <w:sz w:val="18"/>
                <w:szCs w:val="18"/>
              </w:rPr>
              <w:t>经营活动产生的现金流量净额（元）</w:t>
            </w:r>
          </w:p>
        </w:tc>
        <w:tc>
          <w:tcPr>
            <w:tcW w:w="1505" w:type="dxa"/>
            <w:tcBorders>
              <w:top w:val="nil"/>
              <w:left w:val="nil"/>
              <w:bottom w:val="single" w:sz="8" w:space="0" w:color="auto"/>
              <w:right w:val="single" w:sz="8" w:space="0" w:color="auto"/>
            </w:tcBorders>
            <w:vAlign w:val="center"/>
            <w:hideMark/>
          </w:tcPr>
          <w:p w:rsidR="00000000" w:rsidRDefault="00946CCC">
            <w:pPr>
              <w:jc w:val="right"/>
              <w:rPr>
                <w:rFonts w:ascii="Times New Roman" w:eastAsia="宋体" w:hAnsi="Times New Roman" w:cs="Times New Roman"/>
                <w:sz w:val="18"/>
                <w:szCs w:val="18"/>
              </w:rPr>
            </w:pPr>
            <w:r>
              <w:rPr>
                <w:rFonts w:ascii="Times New Roman" w:hAnsi="Times New Roman" w:cs="Times New Roman"/>
                <w:sz w:val="18"/>
                <w:szCs w:val="18"/>
              </w:rPr>
              <w:t>       429,659,649.05</w:t>
            </w:r>
          </w:p>
        </w:tc>
        <w:tc>
          <w:tcPr>
            <w:tcW w:w="1629" w:type="dxa"/>
            <w:tcBorders>
              <w:top w:val="nil"/>
              <w:left w:val="nil"/>
              <w:bottom w:val="single" w:sz="8" w:space="0" w:color="auto"/>
              <w:right w:val="single" w:sz="8" w:space="0" w:color="auto"/>
            </w:tcBorders>
            <w:vAlign w:val="center"/>
            <w:hideMark/>
          </w:tcPr>
          <w:p w:rsidR="00000000" w:rsidRDefault="00946CCC">
            <w:pPr>
              <w:jc w:val="right"/>
              <w:rPr>
                <w:rFonts w:ascii="Times New Roman" w:eastAsia="宋体" w:hAnsi="Times New Roman" w:cs="Times New Roman"/>
                <w:sz w:val="18"/>
                <w:szCs w:val="18"/>
              </w:rPr>
            </w:pPr>
            <w:r>
              <w:rPr>
                <w:rFonts w:ascii="Times New Roman" w:hAnsi="Times New Roman" w:cs="Times New Roman"/>
                <w:sz w:val="18"/>
                <w:szCs w:val="18"/>
              </w:rPr>
              <w:t>         687,085,984.34</w:t>
            </w:r>
          </w:p>
        </w:tc>
        <w:tc>
          <w:tcPr>
            <w:tcW w:w="1134" w:type="dxa"/>
            <w:tcBorders>
              <w:top w:val="nil"/>
              <w:left w:val="nil"/>
              <w:bottom w:val="single" w:sz="8" w:space="0" w:color="auto"/>
              <w:right w:val="single" w:sz="8" w:space="0" w:color="auto"/>
            </w:tcBorders>
            <w:vAlign w:val="center"/>
            <w:hideMark/>
          </w:tcPr>
          <w:p w:rsidR="00000000" w:rsidRDefault="00946CCC">
            <w:pPr>
              <w:jc w:val="right"/>
              <w:rPr>
                <w:rFonts w:ascii="Times New Roman" w:eastAsia="宋体" w:hAnsi="Times New Roman" w:cs="Times New Roman"/>
                <w:sz w:val="18"/>
                <w:szCs w:val="18"/>
              </w:rPr>
            </w:pPr>
            <w:r>
              <w:rPr>
                <w:rFonts w:ascii="Times New Roman" w:hAnsi="Times New Roman" w:cs="Times New Roman"/>
                <w:sz w:val="18"/>
                <w:szCs w:val="18"/>
              </w:rPr>
              <w:t>-37.47%</w:t>
            </w:r>
          </w:p>
        </w:tc>
        <w:tc>
          <w:tcPr>
            <w:tcW w:w="2768" w:type="dxa"/>
            <w:tcBorders>
              <w:top w:val="nil"/>
              <w:left w:val="nil"/>
              <w:bottom w:val="single" w:sz="8" w:space="0" w:color="auto"/>
              <w:right w:val="single" w:sz="8" w:space="0" w:color="auto"/>
            </w:tcBorders>
            <w:noWrap/>
            <w:vAlign w:val="center"/>
            <w:hideMark/>
          </w:tcPr>
          <w:p w:rsidR="00000000" w:rsidRDefault="00946CCC">
            <w:pPr>
              <w:rPr>
                <w:rFonts w:ascii="宋体" w:eastAsia="宋体" w:hAnsi="宋体" w:cs="宋体"/>
                <w:sz w:val="20"/>
                <w:szCs w:val="20"/>
              </w:rPr>
            </w:pPr>
            <w:r>
              <w:rPr>
                <w:rFonts w:hint="eastAsia"/>
                <w:sz w:val="20"/>
                <w:szCs w:val="20"/>
              </w:rPr>
              <w:t>主要系棉花采购增</w:t>
            </w:r>
            <w:r>
              <w:rPr>
                <w:rFonts w:hint="eastAsia"/>
                <w:sz w:val="20"/>
                <w:szCs w:val="20"/>
              </w:rPr>
              <w:t>加</w:t>
            </w:r>
          </w:p>
        </w:tc>
      </w:tr>
    </w:tbl>
    <w:p w:rsidR="00901122" w:rsidRDefault="00946CCC">
      <w:pPr>
        <w:pStyle w:val="headingh1"/>
        <w:spacing w:before="300" w:after="300" w:line="320" w:lineRule="exact"/>
        <w:rPr>
          <w:rFonts w:ascii="宋体" w:eastAsia="宋体" w:hAnsi="宋体" w:cs="宋体"/>
          <w:b/>
          <w:bCs/>
          <w:sz w:val="24"/>
          <w:szCs w:val="24"/>
        </w:rPr>
      </w:pPr>
      <w:bookmarkStart w:id="5" w:name="_Toc988893"/>
      <w:r>
        <w:rPr>
          <w:rFonts w:ascii="宋体" w:eastAsia="宋体" w:hAnsi="宋体" w:cs="宋体"/>
          <w:b/>
          <w:bCs/>
          <w:sz w:val="24"/>
          <w:szCs w:val="24"/>
        </w:rPr>
        <w:t>二、股东信息</w:t>
      </w:r>
      <w:r>
        <w:rPr>
          <w:rFonts w:ascii="宋体" w:eastAsia="宋体" w:hAnsi="宋体" w:cs="宋体"/>
          <w:b/>
          <w:bCs/>
          <w:sz w:val="24"/>
          <w:szCs w:val="24"/>
        </w:rPr>
        <w:t xml:space="preserve"> </w:t>
      </w:r>
      <w:bookmarkEnd w:id="5"/>
    </w:p>
    <w:p w:rsidR="00901122" w:rsidRDefault="00946CCC">
      <w:pPr>
        <w:pStyle w:val="2"/>
        <w:spacing w:before="300" w:after="300" w:line="280" w:lineRule="exact"/>
        <w:rPr>
          <w:rFonts w:ascii="宋体" w:eastAsia="宋体" w:hAnsi="宋体" w:cs="宋体"/>
          <w:b/>
          <w:bCs/>
        </w:rPr>
      </w:pPr>
      <w:bookmarkStart w:id="6" w:name="_Toc988894"/>
      <w:r>
        <w:rPr>
          <w:rFonts w:ascii="宋体" w:eastAsia="宋体" w:hAnsi="宋体" w:cs="宋体"/>
          <w:b/>
          <w:bCs/>
        </w:rPr>
        <w:t>（一）</w:t>
      </w:r>
      <w:r>
        <w:rPr>
          <w:rFonts w:ascii="宋体" w:eastAsia="宋体" w:hAnsi="宋体" w:cs="宋体"/>
          <w:b/>
          <w:bCs/>
        </w:rPr>
        <w:t xml:space="preserve"> </w:t>
      </w:r>
      <w:r>
        <w:rPr>
          <w:rFonts w:ascii="宋体" w:eastAsia="宋体" w:hAnsi="宋体" w:cs="宋体"/>
          <w:b/>
          <w:bCs/>
        </w:rPr>
        <w:t>普通股股东总数和表决权恢复的优先股股东数量及前十名股东持股情况表</w:t>
      </w:r>
      <w:bookmarkEnd w:id="6"/>
    </w:p>
    <w:p w:rsidR="00901122" w:rsidRDefault="00946CCC">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660"/>
        <w:gridCol w:w="94"/>
        <w:gridCol w:w="1182"/>
        <w:gridCol w:w="195"/>
        <w:gridCol w:w="797"/>
        <w:gridCol w:w="1559"/>
        <w:gridCol w:w="398"/>
        <w:gridCol w:w="878"/>
        <w:gridCol w:w="499"/>
        <w:gridCol w:w="351"/>
        <w:gridCol w:w="1026"/>
      </w:tblGrid>
      <w:tr w:rsidR="00901122">
        <w:trPr>
          <w:trHeight w:val="240"/>
        </w:trPr>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27,240</w:t>
            </w:r>
          </w:p>
        </w:tc>
        <w:tc>
          <w:tcPr>
            <w:tcW w:w="413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901122">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名股东持股情况</w:t>
            </w:r>
          </w:p>
        </w:tc>
      </w:tr>
      <w:tr w:rsidR="00901122" w:rsidTr="00D35B95">
        <w:trPr>
          <w:trHeight w:val="240"/>
        </w:trPr>
        <w:tc>
          <w:tcPr>
            <w:tcW w:w="26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276"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992"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持股比例（</w:t>
            </w:r>
            <w:r>
              <w:rPr>
                <w:rFonts w:ascii="宋体" w:eastAsia="宋体" w:hAnsi="宋体" w:cs="宋体"/>
                <w:sz w:val="18"/>
                <w:szCs w:val="18"/>
              </w:rPr>
              <w:t>%</w:t>
            </w:r>
            <w:r>
              <w:rPr>
                <w:rFonts w:ascii="宋体" w:eastAsia="宋体" w:hAnsi="宋体" w:cs="宋体"/>
                <w:sz w:val="18"/>
                <w:szCs w:val="18"/>
              </w:rPr>
              <w:t>）</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持股数量</w:t>
            </w:r>
          </w:p>
        </w:tc>
        <w:tc>
          <w:tcPr>
            <w:tcW w:w="1276"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持有有限售条件的股份数量</w:t>
            </w:r>
          </w:p>
        </w:tc>
        <w:tc>
          <w:tcPr>
            <w:tcW w:w="1876"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质押、标记</w:t>
            </w:r>
            <w:r>
              <w:rPr>
                <w:rFonts w:ascii="宋体" w:eastAsia="宋体" w:hAnsi="宋体" w:cs="宋体"/>
                <w:sz w:val="18"/>
                <w:szCs w:val="18"/>
              </w:rPr>
              <w:t xml:space="preserve"> </w:t>
            </w:r>
            <w:r>
              <w:rPr>
                <w:rFonts w:ascii="宋体" w:eastAsia="宋体" w:hAnsi="宋体" w:cs="宋体"/>
                <w:sz w:val="18"/>
                <w:szCs w:val="18"/>
              </w:rPr>
              <w:t>或冻结情况</w:t>
            </w:r>
          </w:p>
        </w:tc>
      </w:tr>
      <w:tr w:rsidR="00901122" w:rsidTr="00D35B95">
        <w:trPr>
          <w:trHeight w:val="240"/>
        </w:trPr>
        <w:tc>
          <w:tcPr>
            <w:tcW w:w="26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1276"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992"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1276"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85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1026"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520,705,950.00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129,058,312.00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3.70%</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62,923,500.00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w:t>
            </w:r>
            <w:r>
              <w:rPr>
                <w:rFonts w:ascii="宋体" w:eastAsia="宋体" w:hAnsi="宋体" w:cs="宋体"/>
                <w:sz w:val="18"/>
                <w:szCs w:val="18"/>
              </w:rPr>
              <w:t>39</w:t>
            </w:r>
            <w:r>
              <w:rPr>
                <w:rFonts w:ascii="宋体" w:eastAsia="宋体" w:hAnsi="宋体" w:cs="宋体"/>
                <w:sz w:val="18"/>
                <w:szCs w:val="18"/>
              </w:rPr>
              <w:t>号事务管理类单一资金信托</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其他</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2.72%</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46,199,861.00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广西沣盛供应链管理有限公司</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45,283,102.00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质押</w:t>
            </w: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45,166,402.00</w:t>
            </w: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w:t>
            </w:r>
            <w:r>
              <w:rPr>
                <w:rFonts w:ascii="宋体" w:eastAsia="宋体" w:hAnsi="宋体" w:cs="宋体"/>
                <w:sz w:val="18"/>
                <w:szCs w:val="18"/>
              </w:rPr>
              <w:t>7</w:t>
            </w:r>
            <w:r>
              <w:rPr>
                <w:rFonts w:ascii="宋体" w:eastAsia="宋体" w:hAnsi="宋体" w:cs="宋体"/>
                <w:sz w:val="18"/>
                <w:szCs w:val="18"/>
              </w:rPr>
              <w:t>号定向增发事务管理类单一资金信托</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其他</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2.46%</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41,781,004.00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杨三宝</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2.35%</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39,900,000.00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1.41%</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24,038,461.00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境外法人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1.25%</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21,186,231.00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rsidTr="00D35B95">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夏重阳</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1.05%</w:t>
            </w:r>
          </w:p>
        </w:tc>
        <w:tc>
          <w:tcPr>
            <w:tcW w:w="1559"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17,860,000.00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名无限售条件股东持股情况</w:t>
            </w:r>
          </w:p>
        </w:tc>
      </w:tr>
      <w:tr w:rsidR="00901122" w:rsidTr="00D35B95">
        <w:trPr>
          <w:trHeight w:val="240"/>
        </w:trPr>
        <w:tc>
          <w:tcPr>
            <w:tcW w:w="4928"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957"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持有无限售条件股份数量</w:t>
            </w:r>
          </w:p>
        </w:tc>
        <w:tc>
          <w:tcPr>
            <w:tcW w:w="275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股份种类</w:t>
            </w:r>
          </w:p>
        </w:tc>
      </w:tr>
      <w:tr w:rsidR="00901122" w:rsidTr="00D35B95">
        <w:trPr>
          <w:trHeight w:val="240"/>
        </w:trPr>
        <w:tc>
          <w:tcPr>
            <w:tcW w:w="4928" w:type="dxa"/>
            <w:gridSpan w:val="5"/>
            <w:vMerge/>
            <w:tcBorders>
              <w:top w:val="single" w:sz="2" w:space="0" w:color="auto"/>
              <w:left w:val="single" w:sz="2" w:space="0" w:color="auto"/>
              <w:bottom w:val="single" w:sz="2" w:space="0" w:color="auto"/>
              <w:right w:val="single" w:sz="2" w:space="0" w:color="auto"/>
            </w:tcBorders>
            <w:vAlign w:val="center"/>
          </w:tcPr>
          <w:p w:rsidR="00901122" w:rsidRDefault="00901122"/>
        </w:tc>
        <w:tc>
          <w:tcPr>
            <w:tcW w:w="1957" w:type="dxa"/>
            <w:gridSpan w:val="2"/>
            <w:vMerge/>
            <w:tcBorders>
              <w:top w:val="single" w:sz="2" w:space="0" w:color="auto"/>
              <w:left w:val="single" w:sz="2" w:space="0" w:color="auto"/>
              <w:bottom w:val="single" w:sz="2" w:space="0" w:color="auto"/>
              <w:right w:val="single" w:sz="2" w:space="0" w:color="auto"/>
            </w:tcBorders>
            <w:vAlign w:val="center"/>
          </w:tcPr>
          <w:p w:rsidR="00901122" w:rsidRDefault="00901122"/>
        </w:tc>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520,705,950.00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520,705,950.00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129,058,312.00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129,058,312.00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62,923,500.00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62,923,500.00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w:t>
            </w:r>
            <w:r>
              <w:rPr>
                <w:rFonts w:ascii="宋体" w:eastAsia="宋体" w:hAnsi="宋体" w:cs="宋体"/>
                <w:sz w:val="18"/>
                <w:szCs w:val="18"/>
              </w:rPr>
              <w:t>39</w:t>
            </w:r>
            <w:r>
              <w:rPr>
                <w:rFonts w:ascii="宋体" w:eastAsia="宋体" w:hAnsi="宋体" w:cs="宋体"/>
                <w:sz w:val="18"/>
                <w:szCs w:val="18"/>
              </w:rPr>
              <w:t>号事务管理类单一资金信托</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46,199,861.00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46,199,861.00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广西沣盛供应链管理有限公司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45,283,102.00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45,283,102.00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w:t>
            </w:r>
            <w:r>
              <w:rPr>
                <w:rFonts w:ascii="宋体" w:eastAsia="宋体" w:hAnsi="宋体" w:cs="宋体"/>
                <w:sz w:val="18"/>
                <w:szCs w:val="18"/>
              </w:rPr>
              <w:t>7</w:t>
            </w:r>
            <w:r>
              <w:rPr>
                <w:rFonts w:ascii="宋体" w:eastAsia="宋体" w:hAnsi="宋体" w:cs="宋体"/>
                <w:sz w:val="18"/>
                <w:szCs w:val="18"/>
              </w:rPr>
              <w:t>号定向增发事务管理类单一资金信托</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41,781,004.00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41,781,004.00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杨三宝</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39,900,000.00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39,900,000.00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24,038,461.00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24,038,461.00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21,186,231.00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21,186,231.00</w:t>
            </w:r>
          </w:p>
        </w:tc>
      </w:tr>
      <w:tr w:rsidR="00901122" w:rsidTr="00D35B95">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夏重阳</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17,860,000.00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17,860,000.00</w:t>
            </w:r>
          </w:p>
        </w:tc>
      </w:tr>
      <w:tr w:rsidR="00901122">
        <w:trPr>
          <w:trHeight w:val="240"/>
        </w:trPr>
        <w:tc>
          <w:tcPr>
            <w:tcW w:w="413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5508" w:type="dxa"/>
            <w:gridSpan w:val="7"/>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901122">
        <w:trPr>
          <w:trHeight w:val="240"/>
        </w:trPr>
        <w:tc>
          <w:tcPr>
            <w:tcW w:w="413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名股东参与融资融券业务情况说明（如有）</w:t>
            </w:r>
          </w:p>
        </w:tc>
        <w:tc>
          <w:tcPr>
            <w:tcW w:w="5508" w:type="dxa"/>
            <w:gridSpan w:val="7"/>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安徽飞亚纺织有限公司及深圳市华人投资有限公司通过信用账户持有公司部分股份。</w:t>
            </w:r>
            <w:r>
              <w:rPr>
                <w:rFonts w:ascii="Times New Roman" w:eastAsia="宋体" w:hAnsi="Times New Roman" w:cs="Times New Roman"/>
                <w:color w:val="F00000"/>
                <w:vertAlign w:val="superscript"/>
              </w:rPr>
              <w:t>1</w:t>
            </w:r>
          </w:p>
        </w:tc>
      </w:tr>
    </w:tbl>
    <w:p w:rsidR="00901122" w:rsidRDefault="00946CCC">
      <w:r>
        <w:rPr>
          <w:rFonts w:ascii="仿宋" w:eastAsia="仿宋" w:hAnsi="仿宋" w:cs="仿宋"/>
        </w:rPr>
        <w:t>注：</w:t>
      </w:r>
      <w:r>
        <w:rPr>
          <w:rFonts w:ascii="仿宋" w:eastAsia="仿宋" w:hAnsi="仿宋" w:cs="仿宋"/>
        </w:rPr>
        <w:t xml:space="preserve">1 </w:t>
      </w:r>
      <w:r>
        <w:rPr>
          <w:rFonts w:ascii="仿宋" w:eastAsia="仿宋" w:hAnsi="仿宋" w:cs="仿宋"/>
        </w:rPr>
        <w:t>前十大股东中含有回购专户，截止</w:t>
      </w:r>
      <w:r>
        <w:rPr>
          <w:rFonts w:ascii="仿宋" w:eastAsia="仿宋" w:hAnsi="仿宋" w:cs="仿宋"/>
        </w:rPr>
        <w:t>2023</w:t>
      </w:r>
      <w:r>
        <w:rPr>
          <w:rFonts w:ascii="仿宋" w:eastAsia="仿宋" w:hAnsi="仿宋" w:cs="仿宋"/>
        </w:rPr>
        <w:t>年</w:t>
      </w:r>
      <w:r>
        <w:rPr>
          <w:rFonts w:ascii="仿宋" w:eastAsia="仿宋" w:hAnsi="仿宋" w:cs="仿宋"/>
        </w:rPr>
        <w:t>3</w:t>
      </w:r>
      <w:r>
        <w:rPr>
          <w:rFonts w:ascii="仿宋" w:eastAsia="仿宋" w:hAnsi="仿宋" w:cs="仿宋"/>
        </w:rPr>
        <w:t>月</w:t>
      </w:r>
      <w:r>
        <w:rPr>
          <w:rFonts w:ascii="仿宋" w:eastAsia="仿宋" w:hAnsi="仿宋" w:cs="仿宋"/>
        </w:rPr>
        <w:t>31</w:t>
      </w:r>
      <w:r>
        <w:rPr>
          <w:rFonts w:ascii="仿宋" w:eastAsia="仿宋" w:hAnsi="仿宋" w:cs="仿宋"/>
        </w:rPr>
        <w:t>日，回购专户中股份数量为</w:t>
      </w:r>
      <w:r>
        <w:rPr>
          <w:rFonts w:ascii="仿宋" w:eastAsia="仿宋" w:hAnsi="仿宋" w:cs="仿宋"/>
        </w:rPr>
        <w:t>29,838,000</w:t>
      </w:r>
      <w:r>
        <w:rPr>
          <w:rFonts w:ascii="仿宋" w:eastAsia="仿宋" w:hAnsi="仿宋" w:cs="仿宋"/>
        </w:rPr>
        <w:t>股</w:t>
      </w:r>
    </w:p>
    <w:p w:rsidR="00901122" w:rsidRDefault="00946CCC">
      <w:pPr>
        <w:pStyle w:val="2"/>
        <w:spacing w:before="300" w:after="300" w:line="280" w:lineRule="exact"/>
        <w:rPr>
          <w:rFonts w:ascii="宋体" w:eastAsia="宋体" w:hAnsi="宋体" w:cs="宋体"/>
          <w:b/>
          <w:bCs/>
        </w:rPr>
      </w:pPr>
      <w:bookmarkStart w:id="7" w:name="_Toc988895"/>
      <w:r>
        <w:rPr>
          <w:rFonts w:ascii="宋体" w:eastAsia="宋体" w:hAnsi="宋体" w:cs="宋体"/>
          <w:b/>
          <w:bCs/>
        </w:rPr>
        <w:t>（二）</w:t>
      </w:r>
      <w:r>
        <w:rPr>
          <w:rFonts w:ascii="宋体" w:eastAsia="宋体" w:hAnsi="宋体" w:cs="宋体"/>
          <w:b/>
          <w:bCs/>
        </w:rPr>
        <w:t xml:space="preserve"> </w:t>
      </w:r>
      <w:r>
        <w:rPr>
          <w:rFonts w:ascii="宋体" w:eastAsia="宋体" w:hAnsi="宋体" w:cs="宋体"/>
          <w:b/>
          <w:bCs/>
        </w:rPr>
        <w:t>公司优先股股东总数及前</w:t>
      </w:r>
      <w:r>
        <w:rPr>
          <w:rFonts w:ascii="宋体" w:eastAsia="宋体" w:hAnsi="宋体" w:cs="宋体"/>
          <w:b/>
          <w:bCs/>
        </w:rPr>
        <w:t>10</w:t>
      </w:r>
      <w:r>
        <w:rPr>
          <w:rFonts w:ascii="宋体" w:eastAsia="宋体" w:hAnsi="宋体" w:cs="宋体"/>
          <w:b/>
          <w:bCs/>
        </w:rPr>
        <w:t>名优先股股东持股情况表</w:t>
      </w:r>
      <w:bookmarkEnd w:id="7"/>
    </w:p>
    <w:p w:rsidR="00901122" w:rsidRDefault="00946CCC">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901122" w:rsidRDefault="00946CCC">
      <w:pPr>
        <w:pStyle w:val="headingh1"/>
        <w:spacing w:before="300" w:after="300" w:line="320" w:lineRule="exact"/>
        <w:rPr>
          <w:rFonts w:ascii="宋体" w:eastAsia="宋体" w:hAnsi="宋体" w:cs="宋体"/>
          <w:b/>
          <w:bCs/>
          <w:sz w:val="24"/>
          <w:szCs w:val="24"/>
        </w:rPr>
      </w:pPr>
      <w:bookmarkStart w:id="8" w:name="_Toc988896"/>
      <w:r>
        <w:rPr>
          <w:rFonts w:ascii="宋体" w:eastAsia="宋体" w:hAnsi="宋体" w:cs="宋体"/>
          <w:b/>
          <w:bCs/>
          <w:sz w:val="24"/>
          <w:szCs w:val="24"/>
        </w:rPr>
        <w:t>三、其他重要事项</w:t>
      </w:r>
      <w:bookmarkEnd w:id="8"/>
    </w:p>
    <w:p w:rsidR="00901122" w:rsidRDefault="00946CCC">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000000" w:rsidRPr="00D35B95" w:rsidRDefault="00946CCC" w:rsidP="00D35B95">
      <w:pPr>
        <w:pStyle w:val="a3"/>
        <w:spacing w:before="0" w:beforeAutospacing="0" w:after="0" w:afterAutospacing="0" w:line="360" w:lineRule="auto"/>
        <w:ind w:firstLineChars="200" w:firstLine="360"/>
        <w:divId w:val="146822364"/>
        <w:rPr>
          <w:rFonts w:asciiTheme="minorEastAsia" w:eastAsiaTheme="minorEastAsia" w:hAnsiTheme="minorEastAsia"/>
          <w:sz w:val="18"/>
          <w:szCs w:val="18"/>
        </w:rPr>
      </w:pPr>
      <w:r w:rsidRPr="00D35B95">
        <w:rPr>
          <w:rFonts w:asciiTheme="minorEastAsia" w:eastAsiaTheme="minorEastAsia" w:hAnsiTheme="minorEastAsia" w:hint="eastAsia"/>
          <w:sz w:val="18"/>
          <w:szCs w:val="18"/>
        </w:rPr>
        <w:t>1</w:t>
      </w:r>
      <w:r w:rsidRPr="00D35B95">
        <w:rPr>
          <w:rFonts w:asciiTheme="minorEastAsia" w:eastAsiaTheme="minorEastAsia" w:hAnsiTheme="minorEastAsia" w:hint="eastAsia"/>
          <w:sz w:val="18"/>
          <w:szCs w:val="18"/>
        </w:rPr>
        <w:t>、华孚时尚股份有限公司（以下简称“公司”）于</w:t>
      </w:r>
      <w:r w:rsidRPr="00D35B95">
        <w:rPr>
          <w:rFonts w:asciiTheme="minorEastAsia" w:eastAsiaTheme="minorEastAsia" w:hAnsiTheme="minorEastAsia" w:cs="Times New Roman"/>
          <w:sz w:val="18"/>
          <w:szCs w:val="18"/>
        </w:rPr>
        <w:t xml:space="preserve"> 2022 </w:t>
      </w:r>
      <w:r w:rsidRPr="00D35B95">
        <w:rPr>
          <w:rFonts w:asciiTheme="minorEastAsia" w:eastAsiaTheme="minorEastAsia" w:hAnsiTheme="minorEastAsia" w:hint="eastAsia"/>
          <w:sz w:val="18"/>
          <w:szCs w:val="18"/>
        </w:rPr>
        <w:t>年</w:t>
      </w:r>
      <w:r w:rsidRPr="00D35B95">
        <w:rPr>
          <w:rFonts w:asciiTheme="minorEastAsia" w:eastAsiaTheme="minorEastAsia" w:hAnsiTheme="minorEastAsia" w:cs="Times New Roman"/>
          <w:sz w:val="18"/>
          <w:szCs w:val="18"/>
        </w:rPr>
        <w:t xml:space="preserve"> 3 </w:t>
      </w:r>
      <w:r w:rsidRPr="00D35B95">
        <w:rPr>
          <w:rFonts w:asciiTheme="minorEastAsia" w:eastAsiaTheme="minorEastAsia" w:hAnsiTheme="minorEastAsia" w:hint="eastAsia"/>
          <w:sz w:val="18"/>
          <w:szCs w:val="18"/>
        </w:rPr>
        <w:t>月</w:t>
      </w:r>
      <w:r w:rsidRPr="00D35B95">
        <w:rPr>
          <w:rFonts w:asciiTheme="minorEastAsia" w:eastAsiaTheme="minorEastAsia" w:hAnsiTheme="minorEastAsia" w:cs="Times New Roman"/>
          <w:sz w:val="18"/>
          <w:szCs w:val="18"/>
        </w:rPr>
        <w:t xml:space="preserve"> 21 </w:t>
      </w:r>
      <w:r w:rsidRPr="00D35B95">
        <w:rPr>
          <w:rFonts w:asciiTheme="minorEastAsia" w:eastAsiaTheme="minorEastAsia" w:hAnsiTheme="minorEastAsia" w:hint="eastAsia"/>
          <w:sz w:val="18"/>
          <w:szCs w:val="18"/>
        </w:rPr>
        <w:t>日召开第八届董事会</w:t>
      </w:r>
      <w:r w:rsidRPr="00D35B95">
        <w:rPr>
          <w:rFonts w:asciiTheme="minorEastAsia" w:eastAsiaTheme="minorEastAsia" w:hAnsiTheme="minorEastAsia" w:cs="Times New Roman"/>
          <w:sz w:val="18"/>
          <w:szCs w:val="18"/>
        </w:rPr>
        <w:t xml:space="preserve"> 2022 </w:t>
      </w:r>
      <w:r w:rsidRPr="00D35B95">
        <w:rPr>
          <w:rFonts w:asciiTheme="minorEastAsia" w:eastAsiaTheme="minorEastAsia" w:hAnsiTheme="minorEastAsia" w:hint="eastAsia"/>
          <w:sz w:val="18"/>
          <w:szCs w:val="18"/>
        </w:rPr>
        <w:t>年第二次临时会议审议通过《关于回购公司股份方案的议案》，公司拟使用自有资金以集中竞价交易方式回购已发行的人民币普通股（</w:t>
      </w:r>
      <w:r w:rsidRPr="00D35B95">
        <w:rPr>
          <w:rFonts w:asciiTheme="minorEastAsia" w:eastAsiaTheme="minorEastAsia" w:hAnsiTheme="minorEastAsia" w:cs="Times New Roman"/>
          <w:sz w:val="18"/>
          <w:szCs w:val="18"/>
        </w:rPr>
        <w:t xml:space="preserve">A </w:t>
      </w:r>
      <w:r w:rsidRPr="00D35B95">
        <w:rPr>
          <w:rFonts w:asciiTheme="minorEastAsia" w:eastAsiaTheme="minorEastAsia" w:hAnsiTheme="minorEastAsia" w:hint="eastAsia"/>
          <w:sz w:val="18"/>
          <w:szCs w:val="18"/>
        </w:rPr>
        <w:t>股）股份，回购股份用于公司后续员工持股计划或者股权激励。回购总金额为不低于人民币</w:t>
      </w:r>
      <w:r w:rsidRPr="00D35B95">
        <w:rPr>
          <w:rFonts w:asciiTheme="minorEastAsia" w:eastAsiaTheme="minorEastAsia" w:hAnsiTheme="minorEastAsia" w:cs="Times New Roman"/>
          <w:sz w:val="18"/>
          <w:szCs w:val="18"/>
        </w:rPr>
        <w:t xml:space="preserve"> 5,000 </w:t>
      </w:r>
      <w:r w:rsidRPr="00D35B95">
        <w:rPr>
          <w:rFonts w:asciiTheme="minorEastAsia" w:eastAsiaTheme="minorEastAsia" w:hAnsiTheme="minorEastAsia" w:hint="eastAsia"/>
          <w:sz w:val="18"/>
          <w:szCs w:val="18"/>
        </w:rPr>
        <w:t>万元</w:t>
      </w:r>
      <w:r w:rsidRPr="00D35B95">
        <w:rPr>
          <w:rFonts w:asciiTheme="minorEastAsia" w:eastAsiaTheme="minorEastAsia" w:hAnsiTheme="minorEastAsia" w:cs="Times New Roman"/>
          <w:sz w:val="18"/>
          <w:szCs w:val="18"/>
        </w:rPr>
        <w:t>,</w:t>
      </w:r>
      <w:r w:rsidRPr="00D35B95">
        <w:rPr>
          <w:rFonts w:asciiTheme="minorEastAsia" w:eastAsiaTheme="minorEastAsia" w:hAnsiTheme="minorEastAsia" w:hint="eastAsia"/>
          <w:sz w:val="18"/>
          <w:szCs w:val="18"/>
        </w:rPr>
        <w:t>不超过人民币</w:t>
      </w:r>
      <w:r w:rsidRPr="00D35B95">
        <w:rPr>
          <w:rFonts w:asciiTheme="minorEastAsia" w:eastAsiaTheme="minorEastAsia" w:hAnsiTheme="minorEastAsia" w:cs="Times New Roman"/>
          <w:sz w:val="18"/>
          <w:szCs w:val="18"/>
        </w:rPr>
        <w:t xml:space="preserve"> 10,000 </w:t>
      </w:r>
      <w:r w:rsidRPr="00D35B95">
        <w:rPr>
          <w:rFonts w:asciiTheme="minorEastAsia" w:eastAsiaTheme="minorEastAsia" w:hAnsiTheme="minorEastAsia" w:hint="eastAsia"/>
          <w:sz w:val="18"/>
          <w:szCs w:val="18"/>
        </w:rPr>
        <w:t>万元，回购价格不超过</w:t>
      </w:r>
      <w:r w:rsidRPr="00D35B95">
        <w:rPr>
          <w:rFonts w:asciiTheme="minorEastAsia" w:eastAsiaTheme="minorEastAsia" w:hAnsiTheme="minorEastAsia" w:cs="Times New Roman"/>
          <w:sz w:val="18"/>
          <w:szCs w:val="18"/>
        </w:rPr>
        <w:t xml:space="preserve"> 6.50 </w:t>
      </w:r>
      <w:r w:rsidRPr="00D35B95">
        <w:rPr>
          <w:rFonts w:asciiTheme="minorEastAsia" w:eastAsiaTheme="minorEastAsia" w:hAnsiTheme="minorEastAsia" w:hint="eastAsia"/>
          <w:sz w:val="18"/>
          <w:szCs w:val="18"/>
        </w:rPr>
        <w:t>元</w:t>
      </w:r>
      <w:r w:rsidRPr="00D35B95">
        <w:rPr>
          <w:rFonts w:asciiTheme="minorEastAsia" w:eastAsiaTheme="minorEastAsia" w:hAnsiTheme="minorEastAsia" w:cs="Times New Roman"/>
          <w:sz w:val="18"/>
          <w:szCs w:val="18"/>
        </w:rPr>
        <w:t>/</w:t>
      </w:r>
      <w:r w:rsidRPr="00D35B95">
        <w:rPr>
          <w:rFonts w:asciiTheme="minorEastAsia" w:eastAsiaTheme="minorEastAsia" w:hAnsiTheme="minorEastAsia" w:hint="eastAsia"/>
          <w:sz w:val="18"/>
          <w:szCs w:val="18"/>
        </w:rPr>
        <w:t>股。</w:t>
      </w:r>
      <w:r w:rsidRPr="00D35B95">
        <w:rPr>
          <w:rFonts w:asciiTheme="minorEastAsia" w:eastAsiaTheme="minorEastAsia" w:hAnsiTheme="minorEastAsia" w:hint="eastAsia"/>
          <w:sz w:val="18"/>
          <w:szCs w:val="18"/>
        </w:rPr>
        <w:t>2022</w:t>
      </w:r>
      <w:r w:rsidRPr="00D35B95">
        <w:rPr>
          <w:rFonts w:asciiTheme="minorEastAsia" w:eastAsiaTheme="minorEastAsia" w:hAnsiTheme="minorEastAsia" w:hint="eastAsia"/>
          <w:sz w:val="18"/>
          <w:szCs w:val="18"/>
        </w:rPr>
        <w:t>年</w:t>
      </w:r>
      <w:r w:rsidRPr="00D35B95">
        <w:rPr>
          <w:rFonts w:asciiTheme="minorEastAsia" w:eastAsiaTheme="minorEastAsia" w:hAnsiTheme="minorEastAsia" w:hint="eastAsia"/>
          <w:sz w:val="18"/>
          <w:szCs w:val="18"/>
        </w:rPr>
        <w:t>3</w:t>
      </w:r>
      <w:r w:rsidRPr="00D35B95">
        <w:rPr>
          <w:rFonts w:asciiTheme="minorEastAsia" w:eastAsiaTheme="minorEastAsia" w:hAnsiTheme="minorEastAsia" w:hint="eastAsia"/>
          <w:sz w:val="18"/>
          <w:szCs w:val="18"/>
        </w:rPr>
        <w:t>月</w:t>
      </w:r>
      <w:r w:rsidRPr="00D35B95">
        <w:rPr>
          <w:rFonts w:asciiTheme="minorEastAsia" w:eastAsiaTheme="minorEastAsia" w:hAnsiTheme="minorEastAsia" w:hint="eastAsia"/>
          <w:sz w:val="18"/>
          <w:szCs w:val="18"/>
        </w:rPr>
        <w:t>21</w:t>
      </w:r>
      <w:r w:rsidRPr="00D35B95">
        <w:rPr>
          <w:rFonts w:asciiTheme="minorEastAsia" w:eastAsiaTheme="minorEastAsia" w:hAnsiTheme="minorEastAsia" w:hint="eastAsia"/>
          <w:sz w:val="18"/>
          <w:szCs w:val="18"/>
        </w:rPr>
        <w:t>日，公司于</w:t>
      </w:r>
      <w:r w:rsidRPr="00D35B95">
        <w:rPr>
          <w:rFonts w:asciiTheme="minorEastAsia" w:eastAsiaTheme="minorEastAsia" w:hAnsiTheme="minorEastAsia" w:hint="eastAsia"/>
          <w:color w:val="333333"/>
          <w:sz w:val="18"/>
          <w:szCs w:val="18"/>
          <w:shd w:val="clear" w:color="auto" w:fill="FFFFFF"/>
        </w:rPr>
        <w:t>《中国证券报》、《证券时报》、巨潮资讯网（</w:t>
      </w:r>
      <w:r w:rsidRPr="00D35B95">
        <w:rPr>
          <w:rFonts w:asciiTheme="minorEastAsia" w:eastAsiaTheme="minorEastAsia" w:hAnsiTheme="minorEastAsia" w:hint="eastAsia"/>
          <w:color w:val="333333"/>
          <w:sz w:val="18"/>
          <w:szCs w:val="18"/>
          <w:shd w:val="clear" w:color="auto" w:fill="FFFFFF"/>
        </w:rPr>
        <w:t>www.cninfo.com.cn)</w:t>
      </w:r>
      <w:r w:rsidRPr="00D35B95">
        <w:rPr>
          <w:rFonts w:asciiTheme="minorEastAsia" w:eastAsiaTheme="minorEastAsia" w:hAnsiTheme="minorEastAsia" w:hint="eastAsia"/>
          <w:color w:val="333333"/>
          <w:sz w:val="18"/>
          <w:szCs w:val="18"/>
          <w:shd w:val="clear" w:color="auto" w:fill="FFFFFF"/>
        </w:rPr>
        <w:t>披露</w:t>
      </w:r>
      <w:r w:rsidRPr="00D35B95">
        <w:rPr>
          <w:rFonts w:asciiTheme="minorEastAsia" w:eastAsiaTheme="minorEastAsia" w:hAnsiTheme="minorEastAsia" w:hint="eastAsia"/>
          <w:color w:val="333333"/>
          <w:sz w:val="18"/>
          <w:szCs w:val="18"/>
          <w:shd w:val="clear" w:color="auto" w:fill="FFFFFF"/>
        </w:rPr>
        <w:t>《关于回购公司股份方案的公告》（</w:t>
      </w:r>
      <w:r w:rsidRPr="00D35B95">
        <w:rPr>
          <w:rFonts w:asciiTheme="minorEastAsia" w:eastAsiaTheme="minorEastAsia" w:hAnsiTheme="minorEastAsia" w:hint="eastAsia"/>
          <w:color w:val="333333"/>
          <w:sz w:val="18"/>
          <w:szCs w:val="18"/>
          <w:shd w:val="clear" w:color="auto" w:fill="FFFFFF"/>
        </w:rPr>
        <w:t>2022-13</w:t>
      </w:r>
      <w:r w:rsidRPr="00D35B95">
        <w:rPr>
          <w:rFonts w:asciiTheme="minorEastAsia" w:eastAsiaTheme="minorEastAsia" w:hAnsiTheme="minorEastAsia" w:hint="eastAsia"/>
          <w:color w:val="333333"/>
          <w:sz w:val="18"/>
          <w:szCs w:val="18"/>
          <w:shd w:val="clear" w:color="auto" w:fill="FFFFFF"/>
        </w:rPr>
        <w:t>），截至</w:t>
      </w:r>
      <w:r w:rsidRPr="00D35B95">
        <w:rPr>
          <w:rFonts w:asciiTheme="minorEastAsia" w:eastAsiaTheme="minorEastAsia" w:hAnsiTheme="minorEastAsia" w:hint="eastAsia"/>
          <w:color w:val="333333"/>
          <w:sz w:val="18"/>
          <w:szCs w:val="18"/>
          <w:shd w:val="clear" w:color="auto" w:fill="FFFFFF"/>
        </w:rPr>
        <w:t>2023</w:t>
      </w:r>
      <w:r w:rsidRPr="00D35B95">
        <w:rPr>
          <w:rFonts w:asciiTheme="minorEastAsia" w:eastAsiaTheme="minorEastAsia" w:hAnsiTheme="minorEastAsia" w:hint="eastAsia"/>
          <w:color w:val="333333"/>
          <w:sz w:val="18"/>
          <w:szCs w:val="18"/>
          <w:shd w:val="clear" w:color="auto" w:fill="FFFFFF"/>
        </w:rPr>
        <w:t>年</w:t>
      </w:r>
      <w:r w:rsidRPr="00D35B95">
        <w:rPr>
          <w:rFonts w:asciiTheme="minorEastAsia" w:eastAsiaTheme="minorEastAsia" w:hAnsiTheme="minorEastAsia" w:hint="eastAsia"/>
          <w:color w:val="333333"/>
          <w:sz w:val="18"/>
          <w:szCs w:val="18"/>
          <w:shd w:val="clear" w:color="auto" w:fill="FFFFFF"/>
        </w:rPr>
        <w:t>3</w:t>
      </w:r>
      <w:r w:rsidRPr="00D35B95">
        <w:rPr>
          <w:rFonts w:asciiTheme="minorEastAsia" w:eastAsiaTheme="minorEastAsia" w:hAnsiTheme="minorEastAsia" w:hint="eastAsia"/>
          <w:color w:val="333333"/>
          <w:sz w:val="18"/>
          <w:szCs w:val="18"/>
          <w:shd w:val="clear" w:color="auto" w:fill="FFFFFF"/>
        </w:rPr>
        <w:t>月</w:t>
      </w:r>
      <w:r w:rsidRPr="00D35B95">
        <w:rPr>
          <w:rFonts w:asciiTheme="minorEastAsia" w:eastAsiaTheme="minorEastAsia" w:hAnsiTheme="minorEastAsia" w:hint="eastAsia"/>
          <w:color w:val="333333"/>
          <w:sz w:val="18"/>
          <w:szCs w:val="18"/>
          <w:shd w:val="clear" w:color="auto" w:fill="FFFFFF"/>
        </w:rPr>
        <w:t>20</w:t>
      </w:r>
      <w:r w:rsidRPr="00D35B95">
        <w:rPr>
          <w:rFonts w:asciiTheme="minorEastAsia" w:eastAsiaTheme="minorEastAsia" w:hAnsiTheme="minorEastAsia" w:hint="eastAsia"/>
          <w:color w:val="333333"/>
          <w:sz w:val="18"/>
          <w:szCs w:val="18"/>
          <w:shd w:val="clear" w:color="auto" w:fill="FFFFFF"/>
        </w:rPr>
        <w:t>日，公司本次股份回购已完成。在回购期间，公司通过股份回购专用证券账户以集中竞价交易方式累计回购公司股票</w:t>
      </w:r>
      <w:r w:rsidRPr="00D35B95">
        <w:rPr>
          <w:rFonts w:asciiTheme="minorEastAsia" w:eastAsiaTheme="minorEastAsia" w:hAnsiTheme="minorEastAsia" w:hint="eastAsia"/>
          <w:color w:val="333333"/>
          <w:sz w:val="18"/>
          <w:szCs w:val="18"/>
          <w:shd w:val="clear" w:color="auto" w:fill="FFFFFF"/>
        </w:rPr>
        <w:t>29,800,000</w:t>
      </w:r>
      <w:r w:rsidRPr="00D35B95">
        <w:rPr>
          <w:rFonts w:asciiTheme="minorEastAsia" w:eastAsiaTheme="minorEastAsia" w:hAnsiTheme="minorEastAsia" w:hint="eastAsia"/>
          <w:color w:val="333333"/>
          <w:sz w:val="18"/>
          <w:szCs w:val="18"/>
          <w:shd w:val="clear" w:color="auto" w:fill="FFFFFF"/>
        </w:rPr>
        <w:t>股，占公司总股本的</w:t>
      </w:r>
      <w:r w:rsidRPr="00D35B95">
        <w:rPr>
          <w:rFonts w:asciiTheme="minorEastAsia" w:eastAsiaTheme="minorEastAsia" w:hAnsiTheme="minorEastAsia" w:hint="eastAsia"/>
          <w:color w:val="333333"/>
          <w:sz w:val="18"/>
          <w:szCs w:val="18"/>
          <w:shd w:val="clear" w:color="auto" w:fill="FFFFFF"/>
        </w:rPr>
        <w:t>1.75%</w:t>
      </w:r>
      <w:r w:rsidRPr="00D35B95">
        <w:rPr>
          <w:rFonts w:asciiTheme="minorEastAsia" w:eastAsiaTheme="minorEastAsia" w:hAnsiTheme="minorEastAsia" w:hint="eastAsia"/>
          <w:color w:val="333333"/>
          <w:sz w:val="18"/>
          <w:szCs w:val="18"/>
          <w:shd w:val="clear" w:color="auto" w:fill="FFFFFF"/>
        </w:rPr>
        <w:t>（以公司截止</w:t>
      </w:r>
      <w:r w:rsidRPr="00D35B95">
        <w:rPr>
          <w:rFonts w:asciiTheme="minorEastAsia" w:eastAsiaTheme="minorEastAsia" w:hAnsiTheme="minorEastAsia" w:hint="eastAsia"/>
          <w:color w:val="333333"/>
          <w:sz w:val="18"/>
          <w:szCs w:val="18"/>
          <w:shd w:val="clear" w:color="auto" w:fill="FFFFFF"/>
        </w:rPr>
        <w:t>2023</w:t>
      </w:r>
      <w:r w:rsidRPr="00D35B95">
        <w:rPr>
          <w:rFonts w:asciiTheme="minorEastAsia" w:eastAsiaTheme="minorEastAsia" w:hAnsiTheme="minorEastAsia" w:hint="eastAsia"/>
          <w:color w:val="333333"/>
          <w:sz w:val="18"/>
          <w:szCs w:val="18"/>
          <w:shd w:val="clear" w:color="auto" w:fill="FFFFFF"/>
        </w:rPr>
        <w:t>年</w:t>
      </w:r>
      <w:r w:rsidRPr="00D35B95">
        <w:rPr>
          <w:rFonts w:asciiTheme="minorEastAsia" w:eastAsiaTheme="minorEastAsia" w:hAnsiTheme="minorEastAsia" w:hint="eastAsia"/>
          <w:color w:val="333333"/>
          <w:sz w:val="18"/>
          <w:szCs w:val="18"/>
          <w:shd w:val="clear" w:color="auto" w:fill="FFFFFF"/>
        </w:rPr>
        <w:t>3</w:t>
      </w:r>
      <w:r w:rsidRPr="00D35B95">
        <w:rPr>
          <w:rFonts w:asciiTheme="minorEastAsia" w:eastAsiaTheme="minorEastAsia" w:hAnsiTheme="minorEastAsia" w:hint="eastAsia"/>
          <w:color w:val="333333"/>
          <w:sz w:val="18"/>
          <w:szCs w:val="18"/>
          <w:shd w:val="clear" w:color="auto" w:fill="FFFFFF"/>
        </w:rPr>
        <w:t>月</w:t>
      </w:r>
      <w:r w:rsidRPr="00D35B95">
        <w:rPr>
          <w:rFonts w:asciiTheme="minorEastAsia" w:eastAsiaTheme="minorEastAsia" w:hAnsiTheme="minorEastAsia" w:hint="eastAsia"/>
          <w:color w:val="333333"/>
          <w:sz w:val="18"/>
          <w:szCs w:val="18"/>
          <w:shd w:val="clear" w:color="auto" w:fill="FFFFFF"/>
        </w:rPr>
        <w:t>20</w:t>
      </w:r>
      <w:r w:rsidRPr="00D35B95">
        <w:rPr>
          <w:rFonts w:asciiTheme="minorEastAsia" w:eastAsiaTheme="minorEastAsia" w:hAnsiTheme="minorEastAsia" w:hint="eastAsia"/>
          <w:color w:val="333333"/>
          <w:sz w:val="18"/>
          <w:szCs w:val="18"/>
          <w:shd w:val="clear" w:color="auto" w:fill="FFFFFF"/>
        </w:rPr>
        <w:t>日总股本</w:t>
      </w:r>
      <w:r w:rsidRPr="00D35B95">
        <w:rPr>
          <w:rFonts w:asciiTheme="minorEastAsia" w:eastAsiaTheme="minorEastAsia" w:hAnsiTheme="minorEastAsia" w:hint="eastAsia"/>
          <w:color w:val="333333"/>
          <w:sz w:val="18"/>
          <w:szCs w:val="18"/>
          <w:shd w:val="clear" w:color="auto" w:fill="FFFFFF"/>
        </w:rPr>
        <w:t>1,700,681,355</w:t>
      </w:r>
      <w:r w:rsidRPr="00D35B95">
        <w:rPr>
          <w:rFonts w:asciiTheme="minorEastAsia" w:eastAsiaTheme="minorEastAsia" w:hAnsiTheme="minorEastAsia" w:hint="eastAsia"/>
          <w:color w:val="333333"/>
          <w:sz w:val="18"/>
          <w:szCs w:val="18"/>
          <w:shd w:val="clear" w:color="auto" w:fill="FFFFFF"/>
        </w:rPr>
        <w:t>股为基准），实际回购期间为</w:t>
      </w:r>
      <w:r w:rsidRPr="00D35B95">
        <w:rPr>
          <w:rFonts w:asciiTheme="minorEastAsia" w:eastAsiaTheme="minorEastAsia" w:hAnsiTheme="minorEastAsia" w:hint="eastAsia"/>
          <w:color w:val="333333"/>
          <w:sz w:val="18"/>
          <w:szCs w:val="18"/>
          <w:shd w:val="clear" w:color="auto" w:fill="FFFFFF"/>
        </w:rPr>
        <w:t>2022</w:t>
      </w:r>
      <w:r w:rsidRPr="00D35B95">
        <w:rPr>
          <w:rFonts w:asciiTheme="minorEastAsia" w:eastAsiaTheme="minorEastAsia" w:hAnsiTheme="minorEastAsia" w:hint="eastAsia"/>
          <w:color w:val="333333"/>
          <w:sz w:val="18"/>
          <w:szCs w:val="18"/>
          <w:shd w:val="clear" w:color="auto" w:fill="FFFFFF"/>
        </w:rPr>
        <w:t>年</w:t>
      </w:r>
      <w:r w:rsidRPr="00D35B95">
        <w:rPr>
          <w:rFonts w:asciiTheme="minorEastAsia" w:eastAsiaTheme="minorEastAsia" w:hAnsiTheme="minorEastAsia" w:hint="eastAsia"/>
          <w:color w:val="333333"/>
          <w:sz w:val="18"/>
          <w:szCs w:val="18"/>
          <w:shd w:val="clear" w:color="auto" w:fill="FFFFFF"/>
        </w:rPr>
        <w:t>4</w:t>
      </w:r>
      <w:r w:rsidRPr="00D35B95">
        <w:rPr>
          <w:rFonts w:asciiTheme="minorEastAsia" w:eastAsiaTheme="minorEastAsia" w:hAnsiTheme="minorEastAsia" w:hint="eastAsia"/>
          <w:color w:val="333333"/>
          <w:sz w:val="18"/>
          <w:szCs w:val="18"/>
          <w:shd w:val="clear" w:color="auto" w:fill="FFFFFF"/>
        </w:rPr>
        <w:t>月</w:t>
      </w:r>
      <w:r w:rsidRPr="00D35B95">
        <w:rPr>
          <w:rFonts w:asciiTheme="minorEastAsia" w:eastAsiaTheme="minorEastAsia" w:hAnsiTheme="minorEastAsia" w:hint="eastAsia"/>
          <w:color w:val="333333"/>
          <w:sz w:val="18"/>
          <w:szCs w:val="18"/>
          <w:shd w:val="clear" w:color="auto" w:fill="FFFFFF"/>
        </w:rPr>
        <w:t>28</w:t>
      </w:r>
      <w:r w:rsidRPr="00D35B95">
        <w:rPr>
          <w:rFonts w:asciiTheme="minorEastAsia" w:eastAsiaTheme="minorEastAsia" w:hAnsiTheme="minorEastAsia" w:hint="eastAsia"/>
          <w:color w:val="333333"/>
          <w:sz w:val="18"/>
          <w:szCs w:val="18"/>
          <w:shd w:val="clear" w:color="auto" w:fill="FFFFFF"/>
        </w:rPr>
        <w:t>日至</w:t>
      </w:r>
      <w:r w:rsidRPr="00D35B95">
        <w:rPr>
          <w:rFonts w:asciiTheme="minorEastAsia" w:eastAsiaTheme="minorEastAsia" w:hAnsiTheme="minorEastAsia" w:hint="eastAsia"/>
          <w:color w:val="333333"/>
          <w:sz w:val="18"/>
          <w:szCs w:val="18"/>
          <w:shd w:val="clear" w:color="auto" w:fill="FFFFFF"/>
        </w:rPr>
        <w:t>2023</w:t>
      </w:r>
      <w:r w:rsidRPr="00D35B95">
        <w:rPr>
          <w:rFonts w:asciiTheme="minorEastAsia" w:eastAsiaTheme="minorEastAsia" w:hAnsiTheme="minorEastAsia" w:hint="eastAsia"/>
          <w:color w:val="333333"/>
          <w:sz w:val="18"/>
          <w:szCs w:val="18"/>
          <w:shd w:val="clear" w:color="auto" w:fill="FFFFFF"/>
        </w:rPr>
        <w:t>年</w:t>
      </w:r>
      <w:r w:rsidRPr="00D35B95">
        <w:rPr>
          <w:rFonts w:asciiTheme="minorEastAsia" w:eastAsiaTheme="minorEastAsia" w:hAnsiTheme="minorEastAsia" w:hint="eastAsia"/>
          <w:color w:val="333333"/>
          <w:sz w:val="18"/>
          <w:szCs w:val="18"/>
          <w:shd w:val="clear" w:color="auto" w:fill="FFFFFF"/>
        </w:rPr>
        <w:t>3</w:t>
      </w:r>
      <w:r w:rsidRPr="00D35B95">
        <w:rPr>
          <w:rFonts w:asciiTheme="minorEastAsia" w:eastAsiaTheme="minorEastAsia" w:hAnsiTheme="minorEastAsia" w:hint="eastAsia"/>
          <w:color w:val="333333"/>
          <w:sz w:val="18"/>
          <w:szCs w:val="18"/>
          <w:shd w:val="clear" w:color="auto" w:fill="FFFFFF"/>
        </w:rPr>
        <w:t>月</w:t>
      </w:r>
      <w:r w:rsidRPr="00D35B95">
        <w:rPr>
          <w:rFonts w:asciiTheme="minorEastAsia" w:eastAsiaTheme="minorEastAsia" w:hAnsiTheme="minorEastAsia" w:hint="eastAsia"/>
          <w:color w:val="333333"/>
          <w:sz w:val="18"/>
          <w:szCs w:val="18"/>
          <w:shd w:val="clear" w:color="auto" w:fill="FFFFFF"/>
        </w:rPr>
        <w:t>20</w:t>
      </w:r>
      <w:r w:rsidRPr="00D35B95">
        <w:rPr>
          <w:rFonts w:asciiTheme="minorEastAsia" w:eastAsiaTheme="minorEastAsia" w:hAnsiTheme="minorEastAsia" w:hint="eastAsia"/>
          <w:color w:val="333333"/>
          <w:sz w:val="18"/>
          <w:szCs w:val="18"/>
          <w:shd w:val="clear" w:color="auto" w:fill="FFFFFF"/>
        </w:rPr>
        <w:t>日，其中最高成交价为</w:t>
      </w:r>
      <w:r w:rsidRPr="00D35B95">
        <w:rPr>
          <w:rFonts w:asciiTheme="minorEastAsia" w:eastAsiaTheme="minorEastAsia" w:hAnsiTheme="minorEastAsia" w:hint="eastAsia"/>
          <w:color w:val="333333"/>
          <w:sz w:val="18"/>
          <w:szCs w:val="18"/>
          <w:shd w:val="clear" w:color="auto" w:fill="FFFFFF"/>
        </w:rPr>
        <w:t>3.67</w:t>
      </w:r>
      <w:r w:rsidRPr="00D35B95">
        <w:rPr>
          <w:rFonts w:asciiTheme="minorEastAsia" w:eastAsiaTheme="minorEastAsia" w:hAnsiTheme="minorEastAsia" w:hint="eastAsia"/>
          <w:color w:val="333333"/>
          <w:sz w:val="18"/>
          <w:szCs w:val="18"/>
          <w:shd w:val="clear" w:color="auto" w:fill="FFFFFF"/>
        </w:rPr>
        <w:t>元</w:t>
      </w:r>
      <w:r w:rsidRPr="00D35B95">
        <w:rPr>
          <w:rFonts w:asciiTheme="minorEastAsia" w:eastAsiaTheme="minorEastAsia" w:hAnsiTheme="minorEastAsia" w:hint="eastAsia"/>
          <w:color w:val="333333"/>
          <w:sz w:val="18"/>
          <w:szCs w:val="18"/>
          <w:shd w:val="clear" w:color="auto" w:fill="FFFFFF"/>
        </w:rPr>
        <w:t>/</w:t>
      </w:r>
      <w:r w:rsidRPr="00D35B95">
        <w:rPr>
          <w:rFonts w:asciiTheme="minorEastAsia" w:eastAsiaTheme="minorEastAsia" w:hAnsiTheme="minorEastAsia" w:hint="eastAsia"/>
          <w:color w:val="333333"/>
          <w:sz w:val="18"/>
          <w:szCs w:val="18"/>
          <w:shd w:val="clear" w:color="auto" w:fill="FFFFFF"/>
        </w:rPr>
        <w:t>股，最低成交价为</w:t>
      </w:r>
      <w:r w:rsidRPr="00D35B95">
        <w:rPr>
          <w:rFonts w:asciiTheme="minorEastAsia" w:eastAsiaTheme="minorEastAsia" w:hAnsiTheme="minorEastAsia" w:hint="eastAsia"/>
          <w:color w:val="333333"/>
          <w:sz w:val="18"/>
          <w:szCs w:val="18"/>
          <w:shd w:val="clear" w:color="auto" w:fill="FFFFFF"/>
        </w:rPr>
        <w:t>3.04</w:t>
      </w:r>
      <w:r w:rsidRPr="00D35B95">
        <w:rPr>
          <w:rFonts w:asciiTheme="minorEastAsia" w:eastAsiaTheme="minorEastAsia" w:hAnsiTheme="minorEastAsia" w:hint="eastAsia"/>
          <w:color w:val="333333"/>
          <w:sz w:val="18"/>
          <w:szCs w:val="18"/>
          <w:shd w:val="clear" w:color="auto" w:fill="FFFFFF"/>
        </w:rPr>
        <w:t>元</w:t>
      </w:r>
      <w:r w:rsidRPr="00D35B95">
        <w:rPr>
          <w:rFonts w:asciiTheme="minorEastAsia" w:eastAsiaTheme="minorEastAsia" w:hAnsiTheme="minorEastAsia" w:hint="eastAsia"/>
          <w:color w:val="333333"/>
          <w:sz w:val="18"/>
          <w:szCs w:val="18"/>
          <w:shd w:val="clear" w:color="auto" w:fill="FFFFFF"/>
        </w:rPr>
        <w:t>/</w:t>
      </w:r>
      <w:r w:rsidRPr="00D35B95">
        <w:rPr>
          <w:rFonts w:asciiTheme="minorEastAsia" w:eastAsiaTheme="minorEastAsia" w:hAnsiTheme="minorEastAsia" w:hint="eastAsia"/>
          <w:color w:val="333333"/>
          <w:sz w:val="18"/>
          <w:szCs w:val="18"/>
          <w:shd w:val="clear" w:color="auto" w:fill="FFFFFF"/>
        </w:rPr>
        <w:t>股，成交总金额为人民</w:t>
      </w:r>
      <w:r w:rsidRPr="00D35B95">
        <w:rPr>
          <w:rFonts w:asciiTheme="minorEastAsia" w:eastAsiaTheme="minorEastAsia" w:hAnsiTheme="minorEastAsia" w:hint="eastAsia"/>
          <w:color w:val="333333"/>
          <w:sz w:val="18"/>
          <w:szCs w:val="18"/>
          <w:shd w:val="clear" w:color="auto" w:fill="FFFFFF"/>
        </w:rPr>
        <w:t>99,916,654.12</w:t>
      </w:r>
      <w:r w:rsidRPr="00D35B95">
        <w:rPr>
          <w:rFonts w:asciiTheme="minorEastAsia" w:eastAsiaTheme="minorEastAsia" w:hAnsiTheme="minorEastAsia" w:hint="eastAsia"/>
          <w:color w:val="333333"/>
          <w:sz w:val="18"/>
          <w:szCs w:val="18"/>
          <w:shd w:val="clear" w:color="auto" w:fill="FFFFFF"/>
        </w:rPr>
        <w:t>元（不含交易费用）。本次回购符合相关法律法规的要求，符</w:t>
      </w:r>
      <w:r w:rsidRPr="00D35B95">
        <w:rPr>
          <w:rFonts w:asciiTheme="minorEastAsia" w:eastAsiaTheme="minorEastAsia" w:hAnsiTheme="minorEastAsia" w:hint="eastAsia"/>
          <w:color w:val="333333"/>
          <w:sz w:val="18"/>
          <w:szCs w:val="18"/>
          <w:shd w:val="clear" w:color="auto" w:fill="FFFFFF"/>
        </w:rPr>
        <w:t>合公司既定的回购方案，本次回购股份方案已实施完毕。</w:t>
      </w:r>
    </w:p>
    <w:p w:rsidR="00000000" w:rsidRPr="00D35B95" w:rsidRDefault="00946CCC" w:rsidP="00D35B95">
      <w:pPr>
        <w:pStyle w:val="a3"/>
        <w:spacing w:before="0" w:beforeAutospacing="0" w:after="0" w:afterAutospacing="0" w:line="360" w:lineRule="auto"/>
        <w:ind w:firstLineChars="200" w:firstLine="360"/>
        <w:divId w:val="146822364"/>
        <w:rPr>
          <w:rFonts w:asciiTheme="minorEastAsia" w:eastAsiaTheme="minorEastAsia" w:hAnsiTheme="minorEastAsia" w:hint="eastAsia"/>
          <w:sz w:val="18"/>
          <w:szCs w:val="18"/>
        </w:rPr>
      </w:pPr>
      <w:r w:rsidRPr="00D35B95">
        <w:rPr>
          <w:rFonts w:asciiTheme="minorEastAsia" w:eastAsiaTheme="minorEastAsia" w:hAnsiTheme="minorEastAsia" w:hint="eastAsia"/>
          <w:color w:val="333333"/>
          <w:sz w:val="18"/>
          <w:szCs w:val="18"/>
          <w:shd w:val="clear" w:color="auto" w:fill="FFFFFF"/>
        </w:rPr>
        <w:t>2</w:t>
      </w:r>
      <w:r w:rsidRPr="00D35B95">
        <w:rPr>
          <w:rFonts w:asciiTheme="minorEastAsia" w:eastAsiaTheme="minorEastAsia" w:hAnsiTheme="minorEastAsia" w:hint="eastAsia"/>
          <w:color w:val="333333"/>
          <w:sz w:val="18"/>
          <w:szCs w:val="18"/>
          <w:shd w:val="clear" w:color="auto" w:fill="FFFFFF"/>
        </w:rPr>
        <w:t>、公司于</w:t>
      </w:r>
      <w:r w:rsidRPr="00D35B95">
        <w:rPr>
          <w:rFonts w:asciiTheme="minorEastAsia" w:eastAsiaTheme="minorEastAsia" w:hAnsiTheme="minorEastAsia" w:hint="eastAsia"/>
          <w:color w:val="333333"/>
          <w:sz w:val="18"/>
          <w:szCs w:val="18"/>
          <w:shd w:val="clear" w:color="auto" w:fill="FFFFFF"/>
        </w:rPr>
        <w:t>2023</w:t>
      </w:r>
      <w:r w:rsidRPr="00D35B95">
        <w:rPr>
          <w:rFonts w:asciiTheme="minorEastAsia" w:eastAsiaTheme="minorEastAsia" w:hAnsiTheme="minorEastAsia" w:hint="eastAsia"/>
          <w:color w:val="333333"/>
          <w:sz w:val="18"/>
          <w:szCs w:val="18"/>
          <w:shd w:val="clear" w:color="auto" w:fill="FFFFFF"/>
        </w:rPr>
        <w:t>年</w:t>
      </w:r>
      <w:r w:rsidRPr="00D35B95">
        <w:rPr>
          <w:rFonts w:asciiTheme="minorEastAsia" w:eastAsiaTheme="minorEastAsia" w:hAnsiTheme="minorEastAsia" w:hint="eastAsia"/>
          <w:color w:val="333333"/>
          <w:sz w:val="18"/>
          <w:szCs w:val="18"/>
          <w:shd w:val="clear" w:color="auto" w:fill="FFFFFF"/>
        </w:rPr>
        <w:t>3</w:t>
      </w:r>
      <w:r w:rsidRPr="00D35B95">
        <w:rPr>
          <w:rFonts w:asciiTheme="minorEastAsia" w:eastAsiaTheme="minorEastAsia" w:hAnsiTheme="minorEastAsia" w:hint="eastAsia"/>
          <w:color w:val="333333"/>
          <w:sz w:val="18"/>
          <w:szCs w:val="18"/>
          <w:shd w:val="clear" w:color="auto" w:fill="FFFFFF"/>
        </w:rPr>
        <w:t>月</w:t>
      </w:r>
      <w:r w:rsidRPr="00D35B95">
        <w:rPr>
          <w:rFonts w:asciiTheme="minorEastAsia" w:eastAsiaTheme="minorEastAsia" w:hAnsiTheme="minorEastAsia" w:hint="eastAsia"/>
          <w:color w:val="333333"/>
          <w:sz w:val="18"/>
          <w:szCs w:val="18"/>
          <w:shd w:val="clear" w:color="auto" w:fill="FFFFFF"/>
        </w:rPr>
        <w:t>17</w:t>
      </w:r>
      <w:r w:rsidRPr="00D35B95">
        <w:rPr>
          <w:rFonts w:asciiTheme="minorEastAsia" w:eastAsiaTheme="minorEastAsia" w:hAnsiTheme="minorEastAsia" w:hint="eastAsia"/>
          <w:color w:val="333333"/>
          <w:sz w:val="18"/>
          <w:szCs w:val="18"/>
          <w:shd w:val="clear" w:color="auto" w:fill="FFFFFF"/>
        </w:rPr>
        <w:t>日召开第八届董事会</w:t>
      </w:r>
      <w:r w:rsidRPr="00D35B95">
        <w:rPr>
          <w:rFonts w:asciiTheme="minorEastAsia" w:eastAsiaTheme="minorEastAsia" w:hAnsiTheme="minorEastAsia" w:hint="eastAsia"/>
          <w:color w:val="333333"/>
          <w:sz w:val="18"/>
          <w:szCs w:val="18"/>
          <w:shd w:val="clear" w:color="auto" w:fill="FFFFFF"/>
        </w:rPr>
        <w:t>2023</w:t>
      </w:r>
      <w:r w:rsidRPr="00D35B95">
        <w:rPr>
          <w:rFonts w:asciiTheme="minorEastAsia" w:eastAsiaTheme="minorEastAsia" w:hAnsiTheme="minorEastAsia" w:hint="eastAsia"/>
          <w:color w:val="333333"/>
          <w:sz w:val="18"/>
          <w:szCs w:val="18"/>
          <w:shd w:val="clear" w:color="auto" w:fill="FFFFFF"/>
        </w:rPr>
        <w:t>年第一次临时会议，审议通过</w:t>
      </w:r>
      <w:r w:rsidRPr="00D35B95">
        <w:rPr>
          <w:rFonts w:asciiTheme="minorEastAsia" w:eastAsiaTheme="minorEastAsia" w:hAnsiTheme="minorEastAsia" w:hint="eastAsia"/>
          <w:sz w:val="18"/>
          <w:szCs w:val="18"/>
        </w:rPr>
        <w:t>《关于</w:t>
      </w:r>
      <w:r w:rsidRPr="00D35B95">
        <w:rPr>
          <w:rFonts w:asciiTheme="minorEastAsia" w:eastAsiaTheme="minorEastAsia" w:hAnsiTheme="minorEastAsia" w:hint="eastAsia"/>
          <w:sz w:val="18"/>
          <w:szCs w:val="18"/>
        </w:rPr>
        <w:t>2023</w:t>
      </w:r>
      <w:r w:rsidRPr="00D35B95">
        <w:rPr>
          <w:rFonts w:asciiTheme="minorEastAsia" w:eastAsiaTheme="minorEastAsia" w:hAnsiTheme="minorEastAsia" w:hint="eastAsia"/>
          <w:sz w:val="18"/>
          <w:szCs w:val="18"/>
        </w:rPr>
        <w:t>年回购公司股份方案的议案》，公司</w:t>
      </w:r>
      <w:r w:rsidRPr="00D35B95">
        <w:rPr>
          <w:rFonts w:asciiTheme="minorEastAsia" w:eastAsiaTheme="minorEastAsia" w:hAnsiTheme="minorEastAsia" w:hint="eastAsia"/>
          <w:color w:val="333333"/>
          <w:sz w:val="18"/>
          <w:szCs w:val="18"/>
          <w:shd w:val="clear" w:color="auto" w:fill="FFFFFF"/>
        </w:rPr>
        <w:t>拟使用自有资金以集中竞价交易方式回购已发行的人民币普通股（</w:t>
      </w:r>
      <w:r w:rsidRPr="00D35B95">
        <w:rPr>
          <w:rFonts w:asciiTheme="minorEastAsia" w:eastAsiaTheme="minorEastAsia" w:hAnsiTheme="minorEastAsia" w:hint="eastAsia"/>
          <w:color w:val="333333"/>
          <w:sz w:val="18"/>
          <w:szCs w:val="18"/>
          <w:shd w:val="clear" w:color="auto" w:fill="FFFFFF"/>
        </w:rPr>
        <w:t>A</w:t>
      </w:r>
      <w:r w:rsidRPr="00D35B95">
        <w:rPr>
          <w:rFonts w:asciiTheme="minorEastAsia" w:eastAsiaTheme="minorEastAsia" w:hAnsiTheme="minorEastAsia" w:hint="eastAsia"/>
          <w:color w:val="333333"/>
          <w:sz w:val="18"/>
          <w:szCs w:val="18"/>
          <w:shd w:val="clear" w:color="auto" w:fill="FFFFFF"/>
        </w:rPr>
        <w:t>股）股份，回购股份用于维护公司价值及股东权益所必需，公司本次回购的股份后续将按有关规定予以全部出售。回购总金额为不低于人民币</w:t>
      </w:r>
      <w:r w:rsidRPr="00D35B95">
        <w:rPr>
          <w:rFonts w:asciiTheme="minorEastAsia" w:eastAsiaTheme="minorEastAsia" w:hAnsiTheme="minorEastAsia" w:hint="eastAsia"/>
          <w:color w:val="333333"/>
          <w:sz w:val="18"/>
          <w:szCs w:val="18"/>
          <w:shd w:val="clear" w:color="auto" w:fill="FFFFFF"/>
        </w:rPr>
        <w:t>10,000</w:t>
      </w:r>
      <w:r w:rsidRPr="00D35B95">
        <w:rPr>
          <w:rFonts w:asciiTheme="minorEastAsia" w:eastAsiaTheme="minorEastAsia" w:hAnsiTheme="minorEastAsia" w:hint="eastAsia"/>
          <w:color w:val="333333"/>
          <w:sz w:val="18"/>
          <w:szCs w:val="18"/>
          <w:shd w:val="clear" w:color="auto" w:fill="FFFFFF"/>
        </w:rPr>
        <w:t>万元，不超过人民币</w:t>
      </w:r>
      <w:r w:rsidRPr="00D35B95">
        <w:rPr>
          <w:rFonts w:asciiTheme="minorEastAsia" w:eastAsiaTheme="minorEastAsia" w:hAnsiTheme="minorEastAsia" w:hint="eastAsia"/>
          <w:color w:val="333333"/>
          <w:sz w:val="18"/>
          <w:szCs w:val="18"/>
          <w:shd w:val="clear" w:color="auto" w:fill="FFFFFF"/>
        </w:rPr>
        <w:t>20,000</w:t>
      </w:r>
      <w:r w:rsidRPr="00D35B95">
        <w:rPr>
          <w:rFonts w:asciiTheme="minorEastAsia" w:eastAsiaTheme="minorEastAsia" w:hAnsiTheme="minorEastAsia" w:hint="eastAsia"/>
          <w:color w:val="333333"/>
          <w:sz w:val="18"/>
          <w:szCs w:val="18"/>
          <w:shd w:val="clear" w:color="auto" w:fill="FFFFFF"/>
        </w:rPr>
        <w:t>万元，回购价格不超过</w:t>
      </w:r>
      <w:r w:rsidRPr="00D35B95">
        <w:rPr>
          <w:rFonts w:asciiTheme="minorEastAsia" w:eastAsiaTheme="minorEastAsia" w:hAnsiTheme="minorEastAsia" w:hint="eastAsia"/>
          <w:color w:val="333333"/>
          <w:sz w:val="18"/>
          <w:szCs w:val="18"/>
          <w:shd w:val="clear" w:color="auto" w:fill="FFFFFF"/>
        </w:rPr>
        <w:t>4.60</w:t>
      </w:r>
      <w:r w:rsidRPr="00D35B95">
        <w:rPr>
          <w:rFonts w:asciiTheme="minorEastAsia" w:eastAsiaTheme="minorEastAsia" w:hAnsiTheme="minorEastAsia" w:hint="eastAsia"/>
          <w:color w:val="333333"/>
          <w:sz w:val="18"/>
          <w:szCs w:val="18"/>
          <w:shd w:val="clear" w:color="auto" w:fill="FFFFFF"/>
        </w:rPr>
        <w:t>元</w:t>
      </w:r>
      <w:r w:rsidRPr="00D35B95">
        <w:rPr>
          <w:rFonts w:asciiTheme="minorEastAsia" w:eastAsiaTheme="minorEastAsia" w:hAnsiTheme="minorEastAsia" w:hint="eastAsia"/>
          <w:color w:val="333333"/>
          <w:sz w:val="18"/>
          <w:szCs w:val="18"/>
          <w:shd w:val="clear" w:color="auto" w:fill="FFFFFF"/>
        </w:rPr>
        <w:t>/</w:t>
      </w:r>
      <w:r w:rsidRPr="00D35B95">
        <w:rPr>
          <w:rFonts w:asciiTheme="minorEastAsia" w:eastAsiaTheme="minorEastAsia" w:hAnsiTheme="minorEastAsia" w:hint="eastAsia"/>
          <w:color w:val="333333"/>
          <w:sz w:val="18"/>
          <w:szCs w:val="18"/>
          <w:shd w:val="clear" w:color="auto" w:fill="FFFFFF"/>
        </w:rPr>
        <w:t>股，按回购资金总额下限人民币</w:t>
      </w:r>
      <w:r w:rsidRPr="00D35B95">
        <w:rPr>
          <w:rFonts w:asciiTheme="minorEastAsia" w:eastAsiaTheme="minorEastAsia" w:hAnsiTheme="minorEastAsia" w:hint="eastAsia"/>
          <w:color w:val="333333"/>
          <w:sz w:val="18"/>
          <w:szCs w:val="18"/>
          <w:shd w:val="clear" w:color="auto" w:fill="FFFFFF"/>
        </w:rPr>
        <w:t>10,000</w:t>
      </w:r>
      <w:r w:rsidRPr="00D35B95">
        <w:rPr>
          <w:rFonts w:asciiTheme="minorEastAsia" w:eastAsiaTheme="minorEastAsia" w:hAnsiTheme="minorEastAsia" w:hint="eastAsia"/>
          <w:color w:val="333333"/>
          <w:sz w:val="18"/>
          <w:szCs w:val="18"/>
          <w:shd w:val="clear" w:color="auto" w:fill="FFFFFF"/>
        </w:rPr>
        <w:t>万元和回购股份价格上限</w:t>
      </w:r>
      <w:r w:rsidRPr="00D35B95">
        <w:rPr>
          <w:rFonts w:asciiTheme="minorEastAsia" w:eastAsiaTheme="minorEastAsia" w:hAnsiTheme="minorEastAsia" w:hint="eastAsia"/>
          <w:color w:val="333333"/>
          <w:sz w:val="18"/>
          <w:szCs w:val="18"/>
          <w:shd w:val="clear" w:color="auto" w:fill="FFFFFF"/>
        </w:rPr>
        <w:t>4.60</w:t>
      </w:r>
      <w:r w:rsidRPr="00D35B95">
        <w:rPr>
          <w:rFonts w:asciiTheme="minorEastAsia" w:eastAsiaTheme="minorEastAsia" w:hAnsiTheme="minorEastAsia" w:hint="eastAsia"/>
          <w:color w:val="333333"/>
          <w:sz w:val="18"/>
          <w:szCs w:val="18"/>
          <w:shd w:val="clear" w:color="auto" w:fill="FFFFFF"/>
        </w:rPr>
        <w:t>元</w:t>
      </w:r>
      <w:r w:rsidRPr="00D35B95">
        <w:rPr>
          <w:rFonts w:asciiTheme="minorEastAsia" w:eastAsiaTheme="minorEastAsia" w:hAnsiTheme="minorEastAsia" w:hint="eastAsia"/>
          <w:color w:val="333333"/>
          <w:sz w:val="18"/>
          <w:szCs w:val="18"/>
          <w:shd w:val="clear" w:color="auto" w:fill="FFFFFF"/>
        </w:rPr>
        <w:t>/</w:t>
      </w:r>
      <w:r w:rsidRPr="00D35B95">
        <w:rPr>
          <w:rFonts w:asciiTheme="minorEastAsia" w:eastAsiaTheme="minorEastAsia" w:hAnsiTheme="minorEastAsia" w:hint="eastAsia"/>
          <w:color w:val="333333"/>
          <w:sz w:val="18"/>
          <w:szCs w:val="18"/>
          <w:shd w:val="clear" w:color="auto" w:fill="FFFFFF"/>
        </w:rPr>
        <w:t>股测算，预计回购股份数量约为</w:t>
      </w:r>
      <w:r w:rsidRPr="00D35B95">
        <w:rPr>
          <w:rFonts w:asciiTheme="minorEastAsia" w:eastAsiaTheme="minorEastAsia" w:hAnsiTheme="minorEastAsia" w:hint="eastAsia"/>
          <w:color w:val="333333"/>
          <w:sz w:val="18"/>
          <w:szCs w:val="18"/>
          <w:shd w:val="clear" w:color="auto" w:fill="FFFFFF"/>
        </w:rPr>
        <w:t>21,739,130</w:t>
      </w:r>
      <w:r w:rsidRPr="00D35B95">
        <w:rPr>
          <w:rFonts w:asciiTheme="minorEastAsia" w:eastAsiaTheme="minorEastAsia" w:hAnsiTheme="minorEastAsia" w:hint="eastAsia"/>
          <w:color w:val="333333"/>
          <w:sz w:val="18"/>
          <w:szCs w:val="18"/>
          <w:shd w:val="clear" w:color="auto" w:fill="FFFFFF"/>
        </w:rPr>
        <w:t>股，约占目前公司总股本的</w:t>
      </w:r>
      <w:r w:rsidRPr="00D35B95">
        <w:rPr>
          <w:rFonts w:asciiTheme="minorEastAsia" w:eastAsiaTheme="minorEastAsia" w:hAnsiTheme="minorEastAsia" w:hint="eastAsia"/>
          <w:color w:val="333333"/>
          <w:sz w:val="18"/>
          <w:szCs w:val="18"/>
          <w:shd w:val="clear" w:color="auto" w:fill="FFFFFF"/>
        </w:rPr>
        <w:t>1.28%</w:t>
      </w:r>
      <w:r w:rsidRPr="00D35B95">
        <w:rPr>
          <w:rFonts w:asciiTheme="minorEastAsia" w:eastAsiaTheme="minorEastAsia" w:hAnsiTheme="minorEastAsia" w:hint="eastAsia"/>
          <w:color w:val="333333"/>
          <w:sz w:val="18"/>
          <w:szCs w:val="18"/>
          <w:shd w:val="clear" w:color="auto" w:fill="FFFFFF"/>
        </w:rPr>
        <w:t>；按回购总金额上限人民币</w:t>
      </w:r>
      <w:r w:rsidRPr="00D35B95">
        <w:rPr>
          <w:rFonts w:asciiTheme="minorEastAsia" w:eastAsiaTheme="minorEastAsia" w:hAnsiTheme="minorEastAsia" w:hint="eastAsia"/>
          <w:color w:val="333333"/>
          <w:sz w:val="18"/>
          <w:szCs w:val="18"/>
          <w:shd w:val="clear" w:color="auto" w:fill="FFFFFF"/>
        </w:rPr>
        <w:t>20,000</w:t>
      </w:r>
      <w:r w:rsidRPr="00D35B95">
        <w:rPr>
          <w:rFonts w:asciiTheme="minorEastAsia" w:eastAsiaTheme="minorEastAsia" w:hAnsiTheme="minorEastAsia" w:hint="eastAsia"/>
          <w:color w:val="333333"/>
          <w:sz w:val="18"/>
          <w:szCs w:val="18"/>
          <w:shd w:val="clear" w:color="auto" w:fill="FFFFFF"/>
        </w:rPr>
        <w:t>万元和回购股份价格上限</w:t>
      </w:r>
      <w:r w:rsidRPr="00D35B95">
        <w:rPr>
          <w:rFonts w:asciiTheme="minorEastAsia" w:eastAsiaTheme="minorEastAsia" w:hAnsiTheme="minorEastAsia" w:hint="eastAsia"/>
          <w:color w:val="333333"/>
          <w:sz w:val="18"/>
          <w:szCs w:val="18"/>
          <w:shd w:val="clear" w:color="auto" w:fill="FFFFFF"/>
        </w:rPr>
        <w:t>4.60</w:t>
      </w:r>
      <w:r w:rsidRPr="00D35B95">
        <w:rPr>
          <w:rFonts w:asciiTheme="minorEastAsia" w:eastAsiaTheme="minorEastAsia" w:hAnsiTheme="minorEastAsia" w:hint="eastAsia"/>
          <w:color w:val="333333"/>
          <w:sz w:val="18"/>
          <w:szCs w:val="18"/>
          <w:shd w:val="clear" w:color="auto" w:fill="FFFFFF"/>
        </w:rPr>
        <w:t>元</w:t>
      </w:r>
      <w:r w:rsidRPr="00D35B95">
        <w:rPr>
          <w:rFonts w:asciiTheme="minorEastAsia" w:eastAsiaTheme="minorEastAsia" w:hAnsiTheme="minorEastAsia" w:hint="eastAsia"/>
          <w:color w:val="333333"/>
          <w:sz w:val="18"/>
          <w:szCs w:val="18"/>
          <w:shd w:val="clear" w:color="auto" w:fill="FFFFFF"/>
        </w:rPr>
        <w:t>/</w:t>
      </w:r>
      <w:r w:rsidRPr="00D35B95">
        <w:rPr>
          <w:rFonts w:asciiTheme="minorEastAsia" w:eastAsiaTheme="minorEastAsia" w:hAnsiTheme="minorEastAsia" w:hint="eastAsia"/>
          <w:color w:val="333333"/>
          <w:sz w:val="18"/>
          <w:szCs w:val="18"/>
          <w:shd w:val="clear" w:color="auto" w:fill="FFFFFF"/>
        </w:rPr>
        <w:t>股测算，预计回购股份数量约为</w:t>
      </w:r>
      <w:r w:rsidRPr="00D35B95">
        <w:rPr>
          <w:rFonts w:asciiTheme="minorEastAsia" w:eastAsiaTheme="minorEastAsia" w:hAnsiTheme="minorEastAsia" w:hint="eastAsia"/>
          <w:color w:val="333333"/>
          <w:sz w:val="18"/>
          <w:szCs w:val="18"/>
          <w:shd w:val="clear" w:color="auto" w:fill="FFFFFF"/>
        </w:rPr>
        <w:t>43,478,260</w:t>
      </w:r>
      <w:r w:rsidRPr="00D35B95">
        <w:rPr>
          <w:rFonts w:asciiTheme="minorEastAsia" w:eastAsiaTheme="minorEastAsia" w:hAnsiTheme="minorEastAsia" w:hint="eastAsia"/>
          <w:color w:val="333333"/>
          <w:sz w:val="18"/>
          <w:szCs w:val="18"/>
          <w:shd w:val="clear" w:color="auto" w:fill="FFFFFF"/>
        </w:rPr>
        <w:t>股，约占目前公司总股本的</w:t>
      </w:r>
      <w:r w:rsidRPr="00D35B95">
        <w:rPr>
          <w:rFonts w:asciiTheme="minorEastAsia" w:eastAsiaTheme="minorEastAsia" w:hAnsiTheme="minorEastAsia" w:hint="eastAsia"/>
          <w:color w:val="333333"/>
          <w:sz w:val="18"/>
          <w:szCs w:val="18"/>
          <w:shd w:val="clear" w:color="auto" w:fill="FFFFFF"/>
        </w:rPr>
        <w:t>2.56%</w:t>
      </w:r>
      <w:r w:rsidRPr="00D35B95">
        <w:rPr>
          <w:rFonts w:asciiTheme="minorEastAsia" w:eastAsiaTheme="minorEastAsia" w:hAnsiTheme="minorEastAsia" w:hint="eastAsia"/>
          <w:color w:val="333333"/>
          <w:sz w:val="18"/>
          <w:szCs w:val="18"/>
          <w:shd w:val="clear" w:color="auto" w:fill="FFFFFF"/>
        </w:rPr>
        <w:t>。</w:t>
      </w:r>
      <w:r w:rsidRPr="00D35B95">
        <w:rPr>
          <w:rFonts w:asciiTheme="minorEastAsia" w:eastAsiaTheme="minorEastAsia" w:hAnsiTheme="minorEastAsia" w:hint="eastAsia"/>
          <w:sz w:val="18"/>
          <w:szCs w:val="18"/>
        </w:rPr>
        <w:t>公司自</w:t>
      </w:r>
      <w:r w:rsidRPr="00D35B95">
        <w:rPr>
          <w:rFonts w:asciiTheme="minorEastAsia" w:eastAsiaTheme="minorEastAsia" w:hAnsiTheme="minorEastAsia" w:hint="eastAsia"/>
          <w:sz w:val="18"/>
          <w:szCs w:val="18"/>
        </w:rPr>
        <w:t>2023</w:t>
      </w:r>
      <w:r w:rsidRPr="00D35B95">
        <w:rPr>
          <w:rFonts w:asciiTheme="minorEastAsia" w:eastAsiaTheme="minorEastAsia" w:hAnsiTheme="minorEastAsia" w:hint="eastAsia"/>
          <w:sz w:val="18"/>
          <w:szCs w:val="18"/>
        </w:rPr>
        <w:t>年</w:t>
      </w:r>
      <w:r w:rsidRPr="00D35B95">
        <w:rPr>
          <w:rFonts w:asciiTheme="minorEastAsia" w:eastAsiaTheme="minorEastAsia" w:hAnsiTheme="minorEastAsia" w:hint="eastAsia"/>
          <w:sz w:val="18"/>
          <w:szCs w:val="18"/>
        </w:rPr>
        <w:t>3</w:t>
      </w:r>
      <w:r w:rsidRPr="00D35B95">
        <w:rPr>
          <w:rFonts w:asciiTheme="minorEastAsia" w:eastAsiaTheme="minorEastAsia" w:hAnsiTheme="minorEastAsia" w:hint="eastAsia"/>
          <w:sz w:val="18"/>
          <w:szCs w:val="18"/>
        </w:rPr>
        <w:t>月</w:t>
      </w:r>
      <w:r w:rsidRPr="00D35B95">
        <w:rPr>
          <w:rFonts w:asciiTheme="minorEastAsia" w:eastAsiaTheme="minorEastAsia" w:hAnsiTheme="minorEastAsia" w:hint="eastAsia"/>
          <w:sz w:val="18"/>
          <w:szCs w:val="18"/>
        </w:rPr>
        <w:t>20</w:t>
      </w:r>
      <w:r w:rsidRPr="00D35B95">
        <w:rPr>
          <w:rFonts w:asciiTheme="minorEastAsia" w:eastAsiaTheme="minorEastAsia" w:hAnsiTheme="minorEastAsia" w:hint="eastAsia"/>
          <w:sz w:val="18"/>
          <w:szCs w:val="18"/>
        </w:rPr>
        <w:t>日首次回购之日起至</w:t>
      </w:r>
      <w:r w:rsidRPr="00D35B95">
        <w:rPr>
          <w:rFonts w:asciiTheme="minorEastAsia" w:eastAsiaTheme="minorEastAsia" w:hAnsiTheme="minorEastAsia" w:hint="eastAsia"/>
          <w:sz w:val="18"/>
          <w:szCs w:val="18"/>
        </w:rPr>
        <w:t>2023</w:t>
      </w:r>
      <w:r w:rsidRPr="00D35B95">
        <w:rPr>
          <w:rFonts w:asciiTheme="minorEastAsia" w:eastAsiaTheme="minorEastAsia" w:hAnsiTheme="minorEastAsia" w:hint="eastAsia"/>
          <w:sz w:val="18"/>
          <w:szCs w:val="18"/>
        </w:rPr>
        <w:t>年</w:t>
      </w:r>
      <w:r w:rsidRPr="00D35B95">
        <w:rPr>
          <w:rFonts w:asciiTheme="minorEastAsia" w:eastAsiaTheme="minorEastAsia" w:hAnsiTheme="minorEastAsia" w:hint="eastAsia"/>
          <w:sz w:val="18"/>
          <w:szCs w:val="18"/>
        </w:rPr>
        <w:t>03</w:t>
      </w:r>
      <w:r w:rsidRPr="00D35B95">
        <w:rPr>
          <w:rFonts w:asciiTheme="minorEastAsia" w:eastAsiaTheme="minorEastAsia" w:hAnsiTheme="minorEastAsia" w:hint="eastAsia"/>
          <w:sz w:val="18"/>
          <w:szCs w:val="18"/>
        </w:rPr>
        <w:t>月</w:t>
      </w:r>
      <w:r w:rsidRPr="00D35B95">
        <w:rPr>
          <w:rFonts w:asciiTheme="minorEastAsia" w:eastAsiaTheme="minorEastAsia" w:hAnsiTheme="minorEastAsia" w:hint="eastAsia"/>
          <w:sz w:val="18"/>
          <w:szCs w:val="18"/>
        </w:rPr>
        <w:t>31</w:t>
      </w:r>
      <w:r w:rsidRPr="00D35B95">
        <w:rPr>
          <w:rFonts w:asciiTheme="minorEastAsia" w:eastAsiaTheme="minorEastAsia" w:hAnsiTheme="minorEastAsia" w:hint="eastAsia"/>
          <w:sz w:val="18"/>
          <w:szCs w:val="18"/>
        </w:rPr>
        <w:t>日，通过股份回购专用证券账户以集中竞价方式回购股份数量</w:t>
      </w:r>
      <w:r w:rsidRPr="00D35B95">
        <w:rPr>
          <w:rFonts w:asciiTheme="minorEastAsia" w:eastAsiaTheme="minorEastAsia" w:hAnsiTheme="minorEastAsia" w:hint="eastAsia"/>
          <w:sz w:val="18"/>
          <w:szCs w:val="18"/>
        </w:rPr>
        <w:t>38,000</w:t>
      </w:r>
      <w:r w:rsidRPr="00D35B95">
        <w:rPr>
          <w:rFonts w:asciiTheme="minorEastAsia" w:eastAsiaTheme="minorEastAsia" w:hAnsiTheme="minorEastAsia" w:hint="eastAsia"/>
          <w:sz w:val="18"/>
          <w:szCs w:val="18"/>
        </w:rPr>
        <w:t>股，占公司目前总股本的</w:t>
      </w:r>
      <w:r w:rsidRPr="00D35B95">
        <w:rPr>
          <w:rFonts w:asciiTheme="minorEastAsia" w:eastAsiaTheme="minorEastAsia" w:hAnsiTheme="minorEastAsia" w:hint="eastAsia"/>
          <w:sz w:val="18"/>
          <w:szCs w:val="18"/>
        </w:rPr>
        <w:t>0.00%</w:t>
      </w:r>
      <w:r w:rsidRPr="00D35B95">
        <w:rPr>
          <w:rFonts w:asciiTheme="minorEastAsia" w:eastAsiaTheme="minorEastAsia" w:hAnsiTheme="minorEastAsia" w:hint="eastAsia"/>
          <w:sz w:val="18"/>
          <w:szCs w:val="18"/>
        </w:rPr>
        <w:t>。最高成交价格</w:t>
      </w:r>
      <w:r w:rsidRPr="00D35B95">
        <w:rPr>
          <w:rFonts w:asciiTheme="minorEastAsia" w:eastAsiaTheme="minorEastAsia" w:hAnsiTheme="minorEastAsia" w:hint="eastAsia"/>
          <w:sz w:val="18"/>
          <w:szCs w:val="18"/>
        </w:rPr>
        <w:t>3.15/</w:t>
      </w:r>
      <w:r w:rsidRPr="00D35B95">
        <w:rPr>
          <w:rFonts w:asciiTheme="minorEastAsia" w:eastAsiaTheme="minorEastAsia" w:hAnsiTheme="minorEastAsia" w:hint="eastAsia"/>
          <w:sz w:val="18"/>
          <w:szCs w:val="18"/>
        </w:rPr>
        <w:t>股，最低成交价格</w:t>
      </w:r>
      <w:r w:rsidRPr="00D35B95">
        <w:rPr>
          <w:rFonts w:asciiTheme="minorEastAsia" w:eastAsiaTheme="minorEastAsia" w:hAnsiTheme="minorEastAsia" w:hint="eastAsia"/>
          <w:sz w:val="18"/>
          <w:szCs w:val="18"/>
        </w:rPr>
        <w:t>3.13</w:t>
      </w:r>
      <w:r w:rsidRPr="00D35B95">
        <w:rPr>
          <w:rFonts w:asciiTheme="minorEastAsia" w:eastAsiaTheme="minorEastAsia" w:hAnsiTheme="minorEastAsia" w:hint="eastAsia"/>
          <w:sz w:val="18"/>
          <w:szCs w:val="18"/>
        </w:rPr>
        <w:t>元</w:t>
      </w:r>
      <w:r w:rsidRPr="00D35B95">
        <w:rPr>
          <w:rFonts w:asciiTheme="minorEastAsia" w:eastAsiaTheme="minorEastAsia" w:hAnsiTheme="minorEastAsia" w:hint="eastAsia"/>
          <w:sz w:val="18"/>
          <w:szCs w:val="18"/>
        </w:rPr>
        <w:t>/</w:t>
      </w:r>
      <w:r w:rsidRPr="00D35B95">
        <w:rPr>
          <w:rFonts w:asciiTheme="minorEastAsia" w:eastAsiaTheme="minorEastAsia" w:hAnsiTheme="minorEastAsia" w:hint="eastAsia"/>
          <w:sz w:val="18"/>
          <w:szCs w:val="18"/>
        </w:rPr>
        <w:t>股，成交总金额为</w:t>
      </w:r>
      <w:r w:rsidRPr="00D35B95">
        <w:rPr>
          <w:rFonts w:asciiTheme="minorEastAsia" w:eastAsiaTheme="minorEastAsia" w:hAnsiTheme="minorEastAsia" w:hint="eastAsia"/>
          <w:sz w:val="18"/>
          <w:szCs w:val="18"/>
        </w:rPr>
        <w:t>118,940</w:t>
      </w:r>
      <w:r w:rsidRPr="00D35B95">
        <w:rPr>
          <w:rFonts w:asciiTheme="minorEastAsia" w:eastAsiaTheme="minorEastAsia" w:hAnsiTheme="minorEastAsia" w:hint="eastAsia"/>
          <w:sz w:val="18"/>
          <w:szCs w:val="18"/>
        </w:rPr>
        <w:t>元（不含手续费），本次回购符合公司回购股份方案及相关法律法规的要求。</w:t>
      </w:r>
    </w:p>
    <w:p w:rsidR="00901122" w:rsidRDefault="00946CCC">
      <w:pPr>
        <w:pStyle w:val="headingh1"/>
        <w:spacing w:before="300" w:after="300" w:line="320" w:lineRule="exact"/>
        <w:rPr>
          <w:rFonts w:ascii="宋体" w:eastAsia="宋体" w:hAnsi="宋体" w:cs="宋体"/>
          <w:b/>
          <w:bCs/>
          <w:sz w:val="24"/>
          <w:szCs w:val="24"/>
        </w:rPr>
      </w:pPr>
      <w:bookmarkStart w:id="9" w:name="_Toc988897"/>
      <w:r>
        <w:rPr>
          <w:rFonts w:ascii="宋体" w:eastAsia="宋体" w:hAnsi="宋体" w:cs="宋体"/>
          <w:b/>
          <w:bCs/>
          <w:sz w:val="24"/>
          <w:szCs w:val="24"/>
        </w:rPr>
        <w:t>四、季度财务报表</w:t>
      </w:r>
      <w:bookmarkEnd w:id="9"/>
    </w:p>
    <w:p w:rsidR="00901122" w:rsidRDefault="00946CCC">
      <w:pPr>
        <w:pStyle w:val="2"/>
        <w:spacing w:before="300" w:after="300" w:line="280" w:lineRule="exact"/>
        <w:rPr>
          <w:rFonts w:ascii="宋体" w:eastAsia="宋体" w:hAnsi="宋体" w:cs="宋体"/>
          <w:b/>
          <w:bCs/>
        </w:rPr>
      </w:pPr>
      <w:bookmarkStart w:id="10" w:name="_Toc988898"/>
      <w:r>
        <w:rPr>
          <w:rFonts w:ascii="宋体" w:eastAsia="宋体" w:hAnsi="宋体" w:cs="宋体"/>
          <w:b/>
          <w:bCs/>
        </w:rPr>
        <w:t>（一）</w:t>
      </w:r>
      <w:r>
        <w:rPr>
          <w:rFonts w:ascii="宋体" w:eastAsia="宋体" w:hAnsi="宋体" w:cs="宋体"/>
          <w:b/>
          <w:bCs/>
        </w:rPr>
        <w:t xml:space="preserve"> </w:t>
      </w:r>
      <w:r>
        <w:rPr>
          <w:rFonts w:ascii="宋体" w:eastAsia="宋体" w:hAnsi="宋体" w:cs="宋体"/>
          <w:b/>
          <w:bCs/>
        </w:rPr>
        <w:t>财务报表</w:t>
      </w:r>
      <w:bookmarkEnd w:id="10"/>
    </w:p>
    <w:p w:rsidR="00901122" w:rsidRDefault="00946CCC">
      <w:pPr>
        <w:pStyle w:val="3"/>
        <w:spacing w:line="280" w:lineRule="exact"/>
        <w:jc w:val="left"/>
        <w:rPr>
          <w:rFonts w:ascii="宋体" w:hAnsi="宋体" w:cs="宋体" w:hint="eastAsia"/>
          <w:b/>
          <w:bCs/>
        </w:rPr>
      </w:pPr>
      <w:bookmarkStart w:id="11" w:name="_Toc988899"/>
      <w:r>
        <w:rPr>
          <w:rFonts w:ascii="宋体" w:hAnsi="宋体" w:cs="宋体"/>
          <w:b/>
          <w:bCs/>
        </w:rPr>
        <w:t>1</w:t>
      </w:r>
      <w:r>
        <w:rPr>
          <w:rFonts w:ascii="宋体" w:hAnsi="宋体" w:cs="宋体"/>
          <w:b/>
          <w:bCs/>
        </w:rPr>
        <w:t>、合并资产负债表</w:t>
      </w:r>
      <w:bookmarkEnd w:id="11"/>
    </w:p>
    <w:p w:rsidR="00901122" w:rsidRDefault="00946CCC">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年初余额</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2,867,531,644.74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393,755,108.65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102,317,926.73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1,091,854,732.16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793,416,702.03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766,827,324.84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287,510,282.29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5,462,544,089.40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1,540,187.78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139,987,580.16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11,140,458,253.94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10,871,389,135.73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2,889,571.11</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2,833,724.06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322,368,836.59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326,977,121.34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78,535,153.04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80,250,680.43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64,820,201.89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4,851,825,784.68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415,360,431.70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21,256,751.18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939,709,957.85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28,201,701.67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31,328,384.06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181,107,541.89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202,245,661.31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59,879,848.17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7,123,442,075.26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7,272,611,641.04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18,263,900,329.20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18,144,000,776.77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6,760,560,912.34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1,902,600.00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62,199,979.26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1,143,501,523.13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10,439,802.87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1,257,513,672.47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78,681,063.33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75,418,931.48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75,227,367.91</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248,116,119.89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190,277,750.21</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145,667,058.56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9,974,087,849.97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10,089,709,607.45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1,213,398,640.29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23,328,793.20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218,082.48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237,600.78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88,983,475.83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89,437,900.44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21,141,748.87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24,872,232.15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1,571,437,879.12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1,275,627,039.90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11,545,525,729.09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11,365,336,647.35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2,740,826,583.55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100,048,630.86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-104,283,495.43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-48,175,536.34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302,737,887.79</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1,695,558,913.23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6,235,472,613.28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6,292,682,730.29</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482,901,986.83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485,981,399.13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6,718,374,600.11</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18,263,900,329.20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18,144,000,776.77</w:t>
            </w:r>
          </w:p>
        </w:tc>
      </w:tr>
    </w:tbl>
    <w:p w:rsidR="00901122" w:rsidRDefault="00946CCC">
      <w:pPr>
        <w:spacing w:line="240" w:lineRule="exact"/>
        <w:rPr>
          <w:rFonts w:ascii="宋体" w:eastAsia="宋体" w:hAnsi="宋体" w:cs="宋体"/>
          <w:sz w:val="18"/>
          <w:szCs w:val="18"/>
        </w:rPr>
      </w:pPr>
      <w:r>
        <w:rPr>
          <w:rFonts w:ascii="宋体" w:eastAsia="宋体" w:hAnsi="宋体" w:cs="宋体"/>
          <w:sz w:val="18"/>
          <w:szCs w:val="18"/>
        </w:rPr>
        <w:t>法定代表人：孙伟挺</w:t>
      </w:r>
      <w:r>
        <w:rPr>
          <w:rFonts w:ascii="宋体" w:eastAsia="宋体" w:hAnsi="宋体" w:cs="宋体"/>
          <w:sz w:val="18"/>
          <w:szCs w:val="18"/>
        </w:rPr>
        <w:t xml:space="preserve">    </w:t>
      </w:r>
      <w:r>
        <w:rPr>
          <w:rFonts w:ascii="宋体" w:eastAsia="宋体" w:hAnsi="宋体" w:cs="宋体"/>
          <w:sz w:val="18"/>
          <w:szCs w:val="18"/>
        </w:rPr>
        <w:t>主管会计工作负责人：陈玲芬</w:t>
      </w:r>
      <w:r>
        <w:rPr>
          <w:rFonts w:ascii="宋体" w:eastAsia="宋体" w:hAnsi="宋体" w:cs="宋体"/>
          <w:sz w:val="18"/>
          <w:szCs w:val="18"/>
        </w:rPr>
        <w:t xml:space="preserve">      </w:t>
      </w:r>
      <w:r>
        <w:rPr>
          <w:rFonts w:ascii="宋体" w:eastAsia="宋体" w:hAnsi="宋体" w:cs="宋体"/>
          <w:sz w:val="18"/>
          <w:szCs w:val="18"/>
        </w:rPr>
        <w:t>会计机构负责人：王国友</w:t>
      </w:r>
    </w:p>
    <w:p w:rsidR="00901122" w:rsidRDefault="00946CCC">
      <w:pPr>
        <w:pStyle w:val="3"/>
        <w:spacing w:line="280" w:lineRule="exact"/>
        <w:jc w:val="left"/>
        <w:rPr>
          <w:rFonts w:ascii="宋体" w:hAnsi="宋体" w:cs="宋体"/>
          <w:b/>
          <w:bCs/>
        </w:rPr>
      </w:pPr>
      <w:bookmarkStart w:id="12" w:name="_Toc988900"/>
      <w:r>
        <w:rPr>
          <w:rFonts w:ascii="宋体" w:hAnsi="宋体" w:cs="宋体"/>
          <w:b/>
          <w:bCs/>
        </w:rPr>
        <w:t>2</w:t>
      </w:r>
      <w:r>
        <w:rPr>
          <w:rFonts w:ascii="宋体" w:hAnsi="宋体" w:cs="宋体"/>
          <w:b/>
          <w:bCs/>
        </w:rPr>
        <w:t>、合并利润表</w:t>
      </w:r>
      <w:bookmarkEnd w:id="12"/>
    </w:p>
    <w:p w:rsidR="00901122" w:rsidRDefault="00946CCC">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4,532,846,687.35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4,147,121,738.76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4,532,846,687.35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4,147,121,738.76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4,511,887,570.13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3,975,028,018.27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4,274,561,989.50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3,720,739,903.94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19,487,100.88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14,602,731.14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25,249,962.18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36,905,154.95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82,378,137.89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89,192,120.73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37,878,963.85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36,688,287.87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72,331,415.83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76,899,819.64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57,987,609.46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71,532,090.26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-3,571,832.18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-9,505,288.70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9,047,475.83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12,895,001.46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-40,005,733.40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36,091,439.77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以摊余成本计量的金融资产终止确认收益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30,809,038.72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-18,031,288.09</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7,069,883.05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-15,589,286.42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17,967,261.13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1,948,465.44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-1,037,782.41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三、营业利润（亏损以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47,795,507.99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186,421,804.80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677,472.42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1,254,860.33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2,034,001.53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1,872,204.49</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四、利润总额（亏损总额以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46,438,978.88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185,804,460.64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-7,353,721.84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28,188,891.32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五、净利润（净亏损以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53,792,700.72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157,615,569.32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持续经营净利润（净亏损以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53,792,700.72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157,615,569.32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终止经营净利润（净亏损以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归属于母公司所有者的净利润</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51,972,113.03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150,058,072.74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少数股东损益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1,820,587.69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7,557,496.58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-56,107,959.09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-11,819,630.51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-56,107,959.09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-11,819,630.51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-770,123.28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-1,240,216.87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-770,123.28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-1,240,216.87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-55,337,835.81</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-10,579,413.64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6.</w:t>
            </w:r>
            <w:r>
              <w:rPr>
                <w:rFonts w:ascii="宋体" w:eastAsia="宋体" w:hAnsi="宋体" w:cs="宋体"/>
                <w:sz w:val="18"/>
                <w:szCs w:val="18"/>
              </w:rPr>
              <w:t>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-55,337,835.81</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-10,579,413.64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300" w:firstLine="540"/>
              <w:rPr>
                <w:rFonts w:ascii="宋体" w:eastAsia="宋体" w:hAnsi="宋体" w:cs="宋体"/>
                <w:sz w:val="18"/>
                <w:szCs w:val="18"/>
              </w:rPr>
            </w:pPr>
            <w:r>
              <w:rPr>
                <w:rFonts w:ascii="宋体" w:eastAsia="宋体" w:hAnsi="宋体" w:cs="宋体"/>
                <w:sz w:val="18"/>
                <w:szCs w:val="18"/>
              </w:rPr>
              <w:t>7.</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-2,315,258.37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145,795,938.81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-4,135,846.06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138,238,442.23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1,820,587.69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7,557,496.58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0.09</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0.09</w:t>
            </w:r>
          </w:p>
        </w:tc>
      </w:tr>
    </w:tbl>
    <w:p w:rsidR="00901122" w:rsidRDefault="00946CCC">
      <w:pPr>
        <w:spacing w:line="240" w:lineRule="exact"/>
        <w:rPr>
          <w:rFonts w:ascii="宋体" w:eastAsia="宋体" w:hAnsi="宋体" w:cs="宋体"/>
          <w:sz w:val="18"/>
          <w:szCs w:val="18"/>
        </w:rPr>
      </w:pPr>
      <w:r>
        <w:rPr>
          <w:rFonts w:ascii="宋体" w:eastAsia="宋体" w:hAnsi="宋体" w:cs="宋体"/>
          <w:sz w:val="18"/>
          <w:szCs w:val="18"/>
        </w:rPr>
        <w:t>本期发生同一控制下企业合并的，被合并方在合并前实现的净利润为：</w:t>
      </w:r>
      <w:r>
        <w:rPr>
          <w:rFonts w:ascii="宋体" w:eastAsia="宋体" w:hAnsi="宋体" w:cs="宋体"/>
          <w:sz w:val="18"/>
          <w:szCs w:val="18"/>
        </w:rPr>
        <w:t>0.00</w:t>
      </w:r>
      <w:r>
        <w:rPr>
          <w:rFonts w:ascii="宋体" w:eastAsia="宋体" w:hAnsi="宋体" w:cs="宋体"/>
          <w:sz w:val="18"/>
          <w:szCs w:val="18"/>
        </w:rPr>
        <w:t>元，上期被合并方实现的净利润为：</w:t>
      </w:r>
      <w:r>
        <w:rPr>
          <w:rFonts w:ascii="宋体" w:eastAsia="宋体" w:hAnsi="宋体" w:cs="宋体"/>
          <w:sz w:val="18"/>
          <w:szCs w:val="18"/>
        </w:rPr>
        <w:t>0.00</w:t>
      </w:r>
      <w:r>
        <w:rPr>
          <w:rFonts w:ascii="宋体" w:eastAsia="宋体" w:hAnsi="宋体" w:cs="宋体"/>
          <w:sz w:val="18"/>
          <w:szCs w:val="18"/>
        </w:rPr>
        <w:t>元。</w:t>
      </w:r>
    </w:p>
    <w:p w:rsidR="00901122" w:rsidRDefault="00946CCC">
      <w:pPr>
        <w:spacing w:line="240" w:lineRule="exact"/>
        <w:rPr>
          <w:rFonts w:ascii="宋体" w:eastAsia="宋体" w:hAnsi="宋体" w:cs="宋体"/>
          <w:sz w:val="18"/>
          <w:szCs w:val="18"/>
        </w:rPr>
      </w:pPr>
      <w:r>
        <w:rPr>
          <w:rFonts w:ascii="宋体" w:eastAsia="宋体" w:hAnsi="宋体" w:cs="宋体"/>
          <w:sz w:val="18"/>
          <w:szCs w:val="18"/>
        </w:rPr>
        <w:t>法定代表人：孙伟挺</w:t>
      </w:r>
      <w:r>
        <w:rPr>
          <w:rFonts w:ascii="宋体" w:eastAsia="宋体" w:hAnsi="宋体" w:cs="宋体"/>
          <w:sz w:val="18"/>
          <w:szCs w:val="18"/>
        </w:rPr>
        <w:t xml:space="preserve">    </w:t>
      </w:r>
      <w:r>
        <w:rPr>
          <w:rFonts w:ascii="宋体" w:eastAsia="宋体" w:hAnsi="宋体" w:cs="宋体"/>
          <w:sz w:val="18"/>
          <w:szCs w:val="18"/>
        </w:rPr>
        <w:t>主管会计工作负责人：陈玲芬</w:t>
      </w:r>
      <w:r>
        <w:rPr>
          <w:rFonts w:ascii="宋体" w:eastAsia="宋体" w:hAnsi="宋体" w:cs="宋体"/>
          <w:sz w:val="18"/>
          <w:szCs w:val="18"/>
        </w:rPr>
        <w:t xml:space="preserve">    </w:t>
      </w:r>
      <w:r>
        <w:rPr>
          <w:rFonts w:ascii="宋体" w:eastAsia="宋体" w:hAnsi="宋体" w:cs="宋体"/>
          <w:sz w:val="18"/>
          <w:szCs w:val="18"/>
        </w:rPr>
        <w:t>会计机构负责人：王国友</w:t>
      </w:r>
    </w:p>
    <w:p w:rsidR="00901122" w:rsidRDefault="00946CCC">
      <w:pPr>
        <w:pStyle w:val="3"/>
        <w:spacing w:line="280" w:lineRule="exact"/>
        <w:jc w:val="left"/>
        <w:rPr>
          <w:rFonts w:ascii="宋体" w:hAnsi="宋体" w:cs="宋体"/>
          <w:b/>
          <w:bCs/>
        </w:rPr>
      </w:pPr>
      <w:bookmarkStart w:id="13" w:name="_Toc988901"/>
      <w:r>
        <w:rPr>
          <w:rFonts w:ascii="宋体" w:hAnsi="宋体" w:cs="宋体"/>
          <w:b/>
          <w:bCs/>
        </w:rPr>
        <w:t>3</w:t>
      </w:r>
      <w:r>
        <w:rPr>
          <w:rFonts w:ascii="宋体" w:hAnsi="宋体" w:cs="宋体"/>
          <w:b/>
          <w:bCs/>
        </w:rPr>
        <w:t>、合并现金流量表</w:t>
      </w:r>
      <w:bookmarkEnd w:id="13"/>
    </w:p>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5,146,197,264.14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4,376,875,626.52</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17,670,025.46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27,322,859.66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232,176,309.02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36,929,231.11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5,396,043,598.62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4,441,127,717.29</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4,592,585,651.35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3,223,773,020.48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192,206,647.84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291,007,592.40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70,269,553.49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128,952,234.26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111,322,096.89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110,308,885.81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4,966,383,949.57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3,754,041,732.95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429,659,649.05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687,085,984.34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809,500.00</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6,227,553.71</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15,864,631.06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21,607,129.12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1,202,700.00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36,000.00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586,352,231.23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393,593,213.19</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614,996,414.06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410,696,544.25</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购建固定资产、无形资产和其他长期资产所支付的现金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75,479,818.94</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55,854,191.67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40,050,000.00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424,073,409.85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47,615,817.94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499,553,228.79</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143,520,009.61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115,443,185.27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267,176,534.64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01122"/>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2,813,050,206.75</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3,571,548,889.03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273,410,405.62</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88,149,286.60</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3,086,460,612.37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3,659,698,175.63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3,031,021,524.08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4,085,146,260.94</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120,677,743.37</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294,182,699.81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01122">
            <w:pPr>
              <w:spacing w:line="240" w:lineRule="exact"/>
              <w:jc w:val="right"/>
              <w:rPr>
                <w:rFonts w:ascii="宋体" w:eastAsia="宋体" w:hAnsi="宋体" w:cs="宋体"/>
                <w:sz w:val="18"/>
                <w:szCs w:val="18"/>
              </w:rPr>
            </w:pP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453,386,008.28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538,485,562.06</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3,605,085,275.73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4,917,814,522.81</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-518,624,663.36</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-1,258,116,347.18</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-2,466,821.13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-884,059.13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24,011,349.83</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-304,737,887.33</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2,400,684,971.97</w:t>
            </w:r>
          </w:p>
        </w:tc>
      </w:tr>
      <w:tr w:rsidR="0090112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901122" w:rsidRDefault="00946CCC">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1,865,829,903.41</w:t>
            </w:r>
          </w:p>
        </w:tc>
        <w:tc>
          <w:tcPr>
            <w:tcW w:w="3213" w:type="dxa"/>
            <w:tcBorders>
              <w:top w:val="single" w:sz="2" w:space="0" w:color="auto"/>
              <w:left w:val="single" w:sz="2" w:space="0" w:color="auto"/>
              <w:bottom w:val="single" w:sz="2" w:space="0" w:color="auto"/>
              <w:right w:val="single" w:sz="2" w:space="0" w:color="auto"/>
            </w:tcBorders>
            <w:vAlign w:val="center"/>
          </w:tcPr>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2,095,947,084.64</w:t>
            </w:r>
          </w:p>
        </w:tc>
      </w:tr>
    </w:tbl>
    <w:p w:rsidR="00901122" w:rsidRDefault="00946CCC">
      <w:pPr>
        <w:pStyle w:val="2"/>
        <w:spacing w:before="300" w:after="300" w:line="280" w:lineRule="exact"/>
        <w:rPr>
          <w:rFonts w:ascii="宋体" w:eastAsia="宋体" w:hAnsi="宋体" w:cs="宋体"/>
          <w:b/>
          <w:bCs/>
          <w:sz w:val="25"/>
          <w:szCs w:val="25"/>
        </w:rPr>
      </w:pPr>
      <w:bookmarkStart w:id="14" w:name="_Toc988902"/>
      <w:r>
        <w:rPr>
          <w:rFonts w:ascii="宋体" w:eastAsia="宋体" w:hAnsi="宋体" w:cs="宋体"/>
          <w:b/>
          <w:bCs/>
          <w:sz w:val="25"/>
          <w:szCs w:val="25"/>
        </w:rPr>
        <w:t>（二）</w:t>
      </w:r>
      <w:r>
        <w:rPr>
          <w:rFonts w:ascii="宋体" w:eastAsia="宋体" w:hAnsi="宋体" w:cs="宋体"/>
          <w:b/>
          <w:bCs/>
          <w:sz w:val="25"/>
          <w:szCs w:val="25"/>
        </w:rPr>
        <w:t xml:space="preserve"> </w:t>
      </w:r>
      <w:r>
        <w:rPr>
          <w:rFonts w:ascii="宋体" w:eastAsia="宋体" w:hAnsi="宋体" w:cs="宋体"/>
          <w:b/>
          <w:bCs/>
          <w:sz w:val="25"/>
          <w:szCs w:val="25"/>
        </w:rPr>
        <w:t>审计报告</w:t>
      </w:r>
      <w:bookmarkEnd w:id="14"/>
    </w:p>
    <w:p w:rsidR="00901122" w:rsidRDefault="00946CCC">
      <w:pPr>
        <w:spacing w:before="40" w:after="40" w:line="240" w:lineRule="exact"/>
        <w:rPr>
          <w:rFonts w:ascii="宋体" w:eastAsia="宋体" w:hAnsi="宋体" w:cs="宋体"/>
          <w:sz w:val="18"/>
          <w:szCs w:val="18"/>
        </w:rPr>
      </w:pPr>
      <w:r>
        <w:rPr>
          <w:rFonts w:ascii="宋体" w:eastAsia="宋体" w:hAnsi="宋体" w:cs="宋体"/>
          <w:sz w:val="18"/>
          <w:szCs w:val="18"/>
        </w:rPr>
        <w:t>第一季度报告是否经过审计</w:t>
      </w:r>
    </w:p>
    <w:p w:rsidR="00901122" w:rsidRDefault="00946CCC">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901122" w:rsidRDefault="00946CCC">
      <w:pPr>
        <w:spacing w:before="40" w:after="40" w:line="240" w:lineRule="exact"/>
        <w:rPr>
          <w:rFonts w:ascii="宋体" w:eastAsia="宋体" w:hAnsi="宋体" w:cs="宋体"/>
          <w:sz w:val="18"/>
          <w:szCs w:val="18"/>
        </w:rPr>
      </w:pPr>
      <w:r>
        <w:rPr>
          <w:rFonts w:ascii="宋体" w:eastAsia="宋体" w:hAnsi="宋体" w:cs="宋体"/>
          <w:sz w:val="18"/>
          <w:szCs w:val="18"/>
        </w:rPr>
        <w:t>公司第一季度报告未经审计。</w:t>
      </w:r>
    </w:p>
    <w:p w:rsidR="00901122" w:rsidRDefault="00946CCC">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华孚时尚股份有限公司董事会</w:t>
      </w:r>
    </w:p>
    <w:p w:rsidR="00901122" w:rsidRDefault="00946CCC">
      <w:pPr>
        <w:spacing w:line="240" w:lineRule="exact"/>
        <w:jc w:val="righ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sidR="00D35B95">
        <w:rPr>
          <w:rFonts w:ascii="宋体" w:eastAsia="宋体" w:hAnsi="宋体" w:cs="宋体"/>
          <w:sz w:val="18"/>
          <w:szCs w:val="18"/>
        </w:rPr>
        <w:t>2</w:t>
      </w:r>
      <w:r w:rsidR="00D35B95">
        <w:rPr>
          <w:rFonts w:ascii="宋体" w:eastAsia="宋体" w:hAnsi="宋体" w:cs="宋体" w:hint="eastAsia"/>
          <w:sz w:val="18"/>
          <w:szCs w:val="18"/>
        </w:rPr>
        <w:t>9</w:t>
      </w:r>
      <w:r>
        <w:rPr>
          <w:rFonts w:ascii="宋体" w:eastAsia="宋体" w:hAnsi="宋体" w:cs="宋体"/>
          <w:sz w:val="18"/>
          <w:szCs w:val="18"/>
        </w:rPr>
        <w:t>日</w:t>
      </w:r>
    </w:p>
    <w:sectPr w:rsidR="00901122">
      <w:headerReference w:type="default" r:id="rId7"/>
      <w:footerReference w:type="default" r:id="rId8"/>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CCC" w:rsidRDefault="00946CCC">
      <w:r>
        <w:separator/>
      </w:r>
    </w:p>
  </w:endnote>
  <w:endnote w:type="continuationSeparator" w:id="0">
    <w:p w:rsidR="00946CCC" w:rsidRDefault="0094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122" w:rsidRDefault="00946CCC">
    <w:pPr>
      <w:pStyle w:val="fotter1"/>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CCC" w:rsidRDefault="00946CCC">
      <w:r>
        <w:separator/>
      </w:r>
    </w:p>
  </w:footnote>
  <w:footnote w:type="continuationSeparator" w:id="0">
    <w:p w:rsidR="00946CCC" w:rsidRDefault="00946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122" w:rsidRDefault="00946CCC">
    <w:pPr>
      <w:pStyle w:val="Header1"/>
      <w:pBdr>
        <w:bottom w:val="single" w:sz="6" w:space="1" w:color="auto"/>
      </w:pBdr>
    </w:pPr>
    <w:r>
      <w:t>华孚时尚股份有限公司</w:t>
    </w:r>
    <w:r>
      <w:t>2023</w:t>
    </w:r>
    <w:r>
      <w:t>年第一季度报告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901122"/>
    <w:rsid w:val="00901122"/>
    <w:rsid w:val="00946CCC"/>
    <w:rsid w:val="00D35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paragraph" w:styleId="a4">
    <w:name w:val="header"/>
    <w:basedOn w:val="a"/>
    <w:link w:val="Char"/>
    <w:uiPriority w:val="99"/>
    <w:unhideWhenUsed/>
    <w:rsid w:val="00D35B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35B95"/>
    <w:rPr>
      <w:sz w:val="18"/>
      <w:szCs w:val="18"/>
    </w:rPr>
  </w:style>
  <w:style w:type="paragraph" w:styleId="a5">
    <w:name w:val="footer"/>
    <w:basedOn w:val="a"/>
    <w:link w:val="Char0"/>
    <w:uiPriority w:val="99"/>
    <w:unhideWhenUsed/>
    <w:rsid w:val="00D35B95"/>
    <w:pPr>
      <w:tabs>
        <w:tab w:val="center" w:pos="4153"/>
        <w:tab w:val="right" w:pos="8306"/>
      </w:tabs>
      <w:snapToGrid w:val="0"/>
    </w:pPr>
    <w:rPr>
      <w:sz w:val="18"/>
      <w:szCs w:val="18"/>
    </w:rPr>
  </w:style>
  <w:style w:type="character" w:customStyle="1" w:styleId="Char0">
    <w:name w:val="页脚 Char"/>
    <w:basedOn w:val="a0"/>
    <w:link w:val="a5"/>
    <w:uiPriority w:val="99"/>
    <w:rsid w:val="00D35B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paragraph" w:styleId="a4">
    <w:name w:val="header"/>
    <w:basedOn w:val="a"/>
    <w:link w:val="Char"/>
    <w:uiPriority w:val="99"/>
    <w:unhideWhenUsed/>
    <w:rsid w:val="00D35B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35B95"/>
    <w:rPr>
      <w:sz w:val="18"/>
      <w:szCs w:val="18"/>
    </w:rPr>
  </w:style>
  <w:style w:type="paragraph" w:styleId="a5">
    <w:name w:val="footer"/>
    <w:basedOn w:val="a"/>
    <w:link w:val="Char0"/>
    <w:uiPriority w:val="99"/>
    <w:unhideWhenUsed/>
    <w:rsid w:val="00D35B95"/>
    <w:pPr>
      <w:tabs>
        <w:tab w:val="center" w:pos="4153"/>
        <w:tab w:val="right" w:pos="8306"/>
      </w:tabs>
      <w:snapToGrid w:val="0"/>
    </w:pPr>
    <w:rPr>
      <w:sz w:val="18"/>
      <w:szCs w:val="18"/>
    </w:rPr>
  </w:style>
  <w:style w:type="character" w:customStyle="1" w:styleId="Char0">
    <w:name w:val="页脚 Char"/>
    <w:basedOn w:val="a0"/>
    <w:link w:val="a5"/>
    <w:uiPriority w:val="99"/>
    <w:rsid w:val="00D35B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22364">
      <w:bodyDiv w:val="1"/>
      <w:marLeft w:val="0"/>
      <w:marRight w:val="0"/>
      <w:marTop w:val="0"/>
      <w:marBottom w:val="0"/>
      <w:divBdr>
        <w:top w:val="none" w:sz="0" w:space="0" w:color="auto"/>
        <w:left w:val="none" w:sz="0" w:space="0" w:color="auto"/>
        <w:bottom w:val="none" w:sz="0" w:space="0" w:color="auto"/>
        <w:right w:val="none" w:sz="0" w:space="0" w:color="auto"/>
      </w:divBdr>
    </w:div>
    <w:div w:id="150026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1644</Words>
  <Characters>9377</Characters>
  <Application>Microsoft Office Word</Application>
  <DocSecurity>0</DocSecurity>
  <Lines>78</Lines>
  <Paragraphs>21</Paragraphs>
  <ScaleCrop>false</ScaleCrop>
  <Company/>
  <LinksUpToDate>false</LinksUpToDate>
  <CharactersWithSpaces>11000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2</cp:revision>
  <dcterms:created xsi:type="dcterms:W3CDTF">2023-04-28T10:13:00Z</dcterms:created>
  <dcterms:modified xsi:type="dcterms:W3CDTF">2023-04-28T10:13:00Z</dcterms:modified>
</cp:coreProperties>
</file>