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029" w:rsidRDefault="00903029" w:rsidP="00903029">
      <w:pPr>
        <w:spacing w:before="2400" w:line="360" w:lineRule="auto"/>
        <w:jc w:val="center"/>
        <w:rPr>
          <w:rFonts w:ascii="宋体" w:eastAsia="宋体" w:hAnsi="宋体" w:cs="宋体"/>
          <w:b/>
          <w:bCs/>
          <w:sz w:val="36"/>
          <w:szCs w:val="36"/>
        </w:rPr>
      </w:pPr>
      <w:r>
        <w:rPr>
          <w:rFonts w:ascii="宋体" w:eastAsia="宋体" w:hAnsi="宋体" w:cs="宋体"/>
          <w:b/>
          <w:bCs/>
          <w:noProof/>
          <w:sz w:val="36"/>
          <w:szCs w:val="36"/>
        </w:rPr>
        <w:drawing>
          <wp:inline distT="0" distB="0" distL="0" distR="0">
            <wp:extent cx="1914525" cy="487844"/>
            <wp:effectExtent l="0" t="0" r="0" b="7620"/>
            <wp:docPr id="1" name="图片 1" descr="\\szfs\公司文件\董事会办公室\三会文件\董事会\第8届\定期会议\第八届董事会第8次会议（2024年半年报）\华孚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zfs\公司文件\董事会办公室\三会文件\董事会\第8届\定期会议\第八届董事会第8次会议（2024年半年报）\华孚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1960" cy="489738"/>
                    </a:xfrm>
                    <a:prstGeom prst="rect">
                      <a:avLst/>
                    </a:prstGeom>
                    <a:noFill/>
                    <a:ln>
                      <a:noFill/>
                    </a:ln>
                  </pic:spPr>
                </pic:pic>
              </a:graphicData>
            </a:graphic>
          </wp:inline>
        </w:drawing>
      </w:r>
    </w:p>
    <w:p w:rsidR="00037019" w:rsidRPr="00903029" w:rsidRDefault="00BE788E" w:rsidP="00903029">
      <w:pPr>
        <w:spacing w:before="600" w:line="360" w:lineRule="auto"/>
        <w:jc w:val="center"/>
        <w:rPr>
          <w:rFonts w:ascii="宋体" w:eastAsia="宋体" w:hAnsi="宋体" w:cs="宋体"/>
          <w:b/>
          <w:bCs/>
          <w:sz w:val="36"/>
          <w:szCs w:val="36"/>
        </w:rPr>
      </w:pPr>
      <w:r w:rsidRPr="00903029">
        <w:rPr>
          <w:rFonts w:ascii="宋体" w:eastAsia="宋体" w:hAnsi="宋体" w:cs="宋体"/>
          <w:b/>
          <w:bCs/>
          <w:sz w:val="36"/>
          <w:szCs w:val="36"/>
        </w:rPr>
        <w:t>华孚时尚股份有限公司</w:t>
      </w:r>
    </w:p>
    <w:p w:rsidR="00037019" w:rsidRPr="00903029" w:rsidRDefault="00BE788E" w:rsidP="00903029">
      <w:pPr>
        <w:spacing w:before="360" w:line="360" w:lineRule="auto"/>
        <w:jc w:val="center"/>
        <w:rPr>
          <w:rFonts w:ascii="宋体" w:eastAsia="宋体" w:hAnsi="宋体" w:cs="宋体"/>
          <w:b/>
          <w:bCs/>
          <w:sz w:val="36"/>
          <w:szCs w:val="36"/>
        </w:rPr>
      </w:pPr>
      <w:r w:rsidRPr="00903029">
        <w:rPr>
          <w:rFonts w:ascii="宋体" w:eastAsia="宋体" w:hAnsi="宋体" w:cs="宋体"/>
          <w:b/>
          <w:bCs/>
          <w:sz w:val="36"/>
          <w:szCs w:val="36"/>
        </w:rPr>
        <w:t>2024</w:t>
      </w:r>
      <w:r w:rsidR="001F093A">
        <w:rPr>
          <w:rFonts w:ascii="宋体" w:eastAsia="宋体" w:hAnsi="宋体" w:cs="宋体"/>
          <w:b/>
          <w:bCs/>
          <w:sz w:val="36"/>
          <w:szCs w:val="36"/>
        </w:rPr>
        <w:t>年半年度财务报告</w:t>
      </w:r>
      <w:bookmarkStart w:id="0" w:name="_GoBack"/>
      <w:bookmarkEnd w:id="0"/>
    </w:p>
    <w:p w:rsidR="00037019" w:rsidRDefault="00037019">
      <w:pPr>
        <w:spacing w:before="1000" w:line="240" w:lineRule="exact"/>
        <w:jc w:val="center"/>
        <w:rPr>
          <w:rFonts w:ascii="宋体" w:eastAsia="宋体" w:hAnsi="宋体" w:cs="宋体"/>
          <w:b/>
          <w:bCs/>
          <w:szCs w:val="21"/>
        </w:rPr>
      </w:pPr>
    </w:p>
    <w:p w:rsidR="00037019" w:rsidRDefault="00037019">
      <w:pPr>
        <w:spacing w:before="1000" w:after="1000" w:line="0" w:lineRule="atLeast"/>
        <w:jc w:val="center"/>
        <w:rPr>
          <w:rFonts w:ascii="Times New Roman" w:eastAsia="宋体" w:hAnsi="Times New Roman" w:cs="Times New Roman"/>
        </w:rPr>
      </w:pPr>
    </w:p>
    <w:p w:rsidR="00037019" w:rsidRPr="00903029" w:rsidRDefault="00903029" w:rsidP="00903029">
      <w:pPr>
        <w:spacing w:before="600" w:line="360" w:lineRule="auto"/>
        <w:jc w:val="center"/>
        <w:rPr>
          <w:rFonts w:ascii="宋体" w:eastAsia="宋体" w:hAnsi="宋体" w:cs="宋体"/>
          <w:b/>
          <w:bCs/>
          <w:sz w:val="32"/>
          <w:szCs w:val="32"/>
        </w:rPr>
      </w:pPr>
      <w:r w:rsidRPr="00903029">
        <w:rPr>
          <w:rFonts w:ascii="宋体" w:eastAsia="宋体" w:hAnsi="宋体" w:cs="宋体" w:hint="eastAsia"/>
          <w:b/>
          <w:bCs/>
          <w:sz w:val="32"/>
          <w:szCs w:val="32"/>
        </w:rPr>
        <w:t>二〇二四年八月</w:t>
      </w:r>
    </w:p>
    <w:p w:rsidR="00037019" w:rsidRDefault="00BE788E">
      <w:r>
        <w:br w:type="page"/>
      </w:r>
    </w:p>
    <w:p w:rsidR="00037019" w:rsidRDefault="00BE788E">
      <w:pPr>
        <w:pStyle w:val="headingh1"/>
        <w:spacing w:before="340" w:after="330" w:line="773" w:lineRule="exact"/>
        <w:jc w:val="center"/>
        <w:rPr>
          <w:rFonts w:ascii="宋体" w:eastAsia="宋体" w:hAnsi="宋体" w:cs="宋体"/>
          <w:b/>
          <w:bCs/>
          <w:sz w:val="32"/>
          <w:szCs w:val="32"/>
        </w:rPr>
      </w:pPr>
      <w:bookmarkStart w:id="1" w:name="_Toc988991"/>
      <w:r>
        <w:rPr>
          <w:rFonts w:ascii="宋体" w:eastAsia="宋体" w:hAnsi="宋体" w:cs="宋体"/>
          <w:b/>
          <w:bCs/>
          <w:sz w:val="32"/>
          <w:szCs w:val="32"/>
        </w:rPr>
        <w:lastRenderedPageBreak/>
        <w:t>财务报告</w:t>
      </w:r>
      <w:bookmarkEnd w:id="1"/>
    </w:p>
    <w:p w:rsidR="00037019" w:rsidRDefault="00BE788E">
      <w:pPr>
        <w:pStyle w:val="2"/>
        <w:spacing w:before="300" w:after="300" w:line="320" w:lineRule="exact"/>
        <w:rPr>
          <w:rFonts w:ascii="宋体" w:eastAsia="宋体" w:hAnsi="宋体" w:cs="宋体"/>
          <w:b/>
          <w:bCs/>
          <w:sz w:val="24"/>
          <w:szCs w:val="24"/>
        </w:rPr>
      </w:pPr>
      <w:bookmarkStart w:id="2" w:name="_Toc988992"/>
      <w:r>
        <w:rPr>
          <w:rFonts w:ascii="宋体" w:eastAsia="宋体" w:hAnsi="宋体" w:cs="宋体"/>
          <w:b/>
          <w:bCs/>
          <w:sz w:val="24"/>
          <w:szCs w:val="24"/>
        </w:rPr>
        <w:t>一、审计报告</w:t>
      </w:r>
      <w:bookmarkEnd w:id="2"/>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半年度报告是否经过审计</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公司半年度财务报告未经审计。</w:t>
      </w:r>
    </w:p>
    <w:p w:rsidR="00037019" w:rsidRDefault="00BE788E">
      <w:pPr>
        <w:pStyle w:val="2"/>
        <w:spacing w:before="300" w:after="300" w:line="320" w:lineRule="exact"/>
        <w:rPr>
          <w:rFonts w:ascii="宋体" w:eastAsia="宋体" w:hAnsi="宋体" w:cs="宋体"/>
          <w:b/>
          <w:bCs/>
          <w:sz w:val="24"/>
          <w:szCs w:val="24"/>
        </w:rPr>
      </w:pPr>
      <w:bookmarkStart w:id="3" w:name="_Toc988993"/>
      <w:r>
        <w:rPr>
          <w:rFonts w:ascii="宋体" w:eastAsia="宋体" w:hAnsi="宋体" w:cs="宋体"/>
          <w:b/>
          <w:bCs/>
          <w:sz w:val="24"/>
          <w:szCs w:val="24"/>
        </w:rPr>
        <w:t>二、财务报表</w:t>
      </w:r>
      <w:bookmarkEnd w:id="3"/>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财务附注中报表的单位为：元</w:t>
      </w:r>
    </w:p>
    <w:p w:rsidR="00037019" w:rsidRDefault="00BE788E">
      <w:pPr>
        <w:pStyle w:val="3"/>
        <w:spacing w:line="280" w:lineRule="exact"/>
        <w:jc w:val="left"/>
        <w:rPr>
          <w:rFonts w:ascii="宋体" w:hAnsi="宋体" w:cs="宋体"/>
          <w:b/>
          <w:bCs/>
        </w:rPr>
      </w:pPr>
      <w:bookmarkStart w:id="4" w:name="_Toc988994"/>
      <w:r>
        <w:rPr>
          <w:rFonts w:ascii="宋体" w:hAnsi="宋体" w:cs="宋体"/>
          <w:b/>
          <w:bCs/>
        </w:rPr>
        <w:t>1、合并资产负债表</w:t>
      </w:r>
      <w:bookmarkEnd w:id="4"/>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编制单位：华孚时尚股份有限公司</w:t>
      </w:r>
    </w:p>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2024年06月30日</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3,756,552,002.18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2,636,623,050.27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结算备付金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拆出资金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231,495,851.11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231,633,768.94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126,669,736.33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57,901,832.23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882,387,844.02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1,004,058,465.64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1,305,080,779.48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613,362,244.00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应收保费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应收分保合同准备金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319,685,590.29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231,214,898.67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买入返售金融资产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3,703,758,541.86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5,007,466,587.13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2,934,612.50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2,931,142.48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144,853,044.31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125,091,080.55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10,473,418,002.08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9,910,283,069.91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发放贷款和垫款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324,473,692.24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326,084,172.45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79,305,051.49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77,716,692.81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122,285,481.10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132,702,829.02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4,584,909,993.97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4,675,835,696.14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753,175,787.42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475,059,478.07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22,833,457.37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27,243,799.27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834,347,185.76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848,651,533.13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151,761,841.47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151,761,841.47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14,015,162.13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18,209,091.31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186,483,548.97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184,114,307.76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30,517,989.62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213,610,511.50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7,104,109,191.54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7,130,989,952.93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17,577,527,193.62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17,041,273,022.84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8,095,382,059.78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7,083,948,407.58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拆入资金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127,598,025.01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32,923,985.70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675,479,076.09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924,554,728.71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9,909,164.85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7,293,483.28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452,776,847.26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715,430,170.40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卖出回购金融资产款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吸收存款及同业存放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代理承销证券款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57,357,124.56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69,900,895.46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35,375,241.34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82,862,010.47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166,027,239.55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158,535,963.00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lastRenderedPageBreak/>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应付手续费及佣金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414,019,233.11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415,830,327.16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46,295,090.51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65,480,068.80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10,080,219,102.06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9,556,760,040.56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保险合同准备金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850,041,412.46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726,461,232.31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18,049,357.94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15,991,096.53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244,290,262.78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244,367,138.45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34,411,774.98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35,626,316.46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18,621,574.29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13,544,492.46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1,165,421,993.06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1,035,997,886.82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11,245,641,095.12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10,592,757,927.38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2,738,348,953.80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2,738,348,953.80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300,104,207.84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-163,145,290.24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-96,153,506.00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339,467,737.72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339,467,737.72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一般风险准备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1,719,096,713.91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1,674,292,092.74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归属于母公司所有者权益合计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6,034,345,262.35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6,156,565,539.90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少数股东权益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297,540,836.15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291,949,555.56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6,331,886,098.50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6,448,515,095.46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17,577,527,193.62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17,041,273,022.84</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法定代表人：孙伟挺    </w:t>
      </w:r>
      <w:r w:rsidR="003D672D">
        <w:rPr>
          <w:rFonts w:ascii="宋体" w:eastAsia="宋体" w:hAnsi="宋体" w:cs="宋体" w:hint="eastAsia"/>
          <w:sz w:val="18"/>
          <w:szCs w:val="18"/>
        </w:rPr>
        <w:t xml:space="preserve">                 </w:t>
      </w:r>
      <w:r>
        <w:rPr>
          <w:rFonts w:ascii="宋体" w:eastAsia="宋体" w:hAnsi="宋体" w:cs="宋体"/>
          <w:sz w:val="18"/>
          <w:szCs w:val="18"/>
        </w:rPr>
        <w:t xml:space="preserve">主管会计工作负责人：陈玲芬      </w:t>
      </w:r>
      <w:r w:rsidR="003D672D">
        <w:rPr>
          <w:rFonts w:ascii="宋体" w:eastAsia="宋体" w:hAnsi="宋体" w:cs="宋体" w:hint="eastAsia"/>
          <w:sz w:val="18"/>
          <w:szCs w:val="18"/>
        </w:rPr>
        <w:t xml:space="preserve">            </w:t>
      </w:r>
      <w:r>
        <w:rPr>
          <w:rFonts w:ascii="宋体" w:eastAsia="宋体" w:hAnsi="宋体" w:cs="宋体"/>
          <w:sz w:val="18"/>
          <w:szCs w:val="18"/>
        </w:rPr>
        <w:t>会计机构负责人：王国友</w:t>
      </w:r>
    </w:p>
    <w:p w:rsidR="00037019" w:rsidRDefault="00BE788E">
      <w:pPr>
        <w:pStyle w:val="3"/>
        <w:spacing w:line="320" w:lineRule="exact"/>
        <w:jc w:val="left"/>
        <w:rPr>
          <w:rFonts w:ascii="宋体" w:hAnsi="宋体" w:cs="宋体"/>
          <w:b/>
          <w:bCs/>
          <w:sz w:val="24"/>
          <w:szCs w:val="24"/>
        </w:rPr>
      </w:pPr>
      <w:bookmarkStart w:id="5" w:name="_Toc988995"/>
      <w:r>
        <w:rPr>
          <w:rFonts w:ascii="宋体" w:hAnsi="宋体" w:cs="宋体"/>
          <w:b/>
          <w:bCs/>
          <w:sz w:val="24"/>
          <w:szCs w:val="24"/>
        </w:rPr>
        <w:t>2、母公司资产负债表</w:t>
      </w:r>
      <w:bookmarkEnd w:id="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238,255,302.38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37,699,521.00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39,749,224.26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39,676,997.22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27,430.00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7,551,910.14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4,265,303.71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11,756,379.44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1,089,255,743.52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756,170,998.13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119,584,051.01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116,709,427.72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262,364,057.68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137,345,422.48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38,096,273.93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32,544,715.77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1,791,597,386.49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1,139,455,371.90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55,843,105.59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54,754,746.91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38,437,951.98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39,320,455.98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724,311,797.23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753,466,009.50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123,766,428.39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141,737,991.73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203,883,466.96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206,247,224.26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3,840,407.37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7,330,439.55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9,899,873.31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8,381,013.51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24,972,677.05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4,462,235.46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5,311,254,705.88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5,341,999,114.90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7,102,852,092.37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6,481,454,486.80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30,033,916.67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683,700,000.00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321,186,913.44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492,131,086.18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200,983,677.18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109,349,864.03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6,437,802.92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5,583,412.55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5,429,825.24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2,094,268.94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24,572,062.38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46,399,587.48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182,890.72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1,242,310,281.16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685,775,026.57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418,308,625.31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306,896,837.81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8,848,470.67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9,095,946.67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2,634,446.34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2,471,192.54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429,791,542.32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318,463,977.02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1,672,101,823.48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1,004,239,003.59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300,104,207.84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14,928,529.25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14,003,424.37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307,872,299.19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307,872,299.19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600,441,535.14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547,798,739.86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5,430,750,268.89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5,477,215,483.21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7,102,852,092.37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6,481,454,486.80</w:t>
            </w:r>
          </w:p>
        </w:tc>
      </w:tr>
    </w:tbl>
    <w:p w:rsidR="00037019" w:rsidRDefault="00BE788E">
      <w:pPr>
        <w:pStyle w:val="3"/>
        <w:spacing w:line="280" w:lineRule="exact"/>
        <w:jc w:val="left"/>
        <w:rPr>
          <w:rFonts w:ascii="宋体" w:hAnsi="宋体" w:cs="宋体"/>
          <w:b/>
          <w:bCs/>
        </w:rPr>
      </w:pPr>
      <w:bookmarkStart w:id="6" w:name="_Toc988996"/>
      <w:r>
        <w:rPr>
          <w:rFonts w:ascii="宋体" w:hAnsi="宋体" w:cs="宋体"/>
          <w:b/>
          <w:bCs/>
        </w:rPr>
        <w:t>3、合并利润表</w:t>
      </w:r>
      <w:bookmarkEnd w:id="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2024年半年度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2023年半年度</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一、营业总收入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6,522,872,647.00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7,752,926,712.81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6,522,872,647.00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7,752,926,712.81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已赚保费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二、营业总成本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6,526,556,917.66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7,734,294,576.04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6,117,898,603.32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7,335,998,463.15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退保金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赔付支出净额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提取保险责任准备金净额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保单红利支出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分保费用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40,234,045.22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42,943,545.86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52,789,991.86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69,697,200.52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156,860,189.02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181,512,594.41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56,859,805.33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55,547,119.18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101,914,282.91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48,595,652.92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88,505,950.88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115,951,528.29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8,464,181.30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13,105,439.74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41,764,407.62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73,566,623.46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23,457,818.12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-62,478,441.82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汇兑收益（损失以“—”号填列）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3,293,560.92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11,622,111.18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3,057,845.75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62,881.23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-2,318,531.43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23,531,629.26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2,283,404.49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163,412.51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67,854,234.81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65,100,352.59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1,849,627.52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3,538,699.54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2,942,568.17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2,263,481.62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四、利润总额（亏损总额以“—”号填列）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66,761,294.16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66,375,570.51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11,527,174.10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-5,914,623.64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五、净利润（净亏损以“—”号填列）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55,234,120.06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72,290,194.15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（一）按经营持续性分类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1.持续经营净利润（净亏损以“—”号填列）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55,234,120.06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72,290,194.15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2.终止经营净利润（净亏损以“—”号填列）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（二）按所有权归属分类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1.归属于母公司股东的净利润（净亏损以“—”号填列）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44,804,621.17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81,402,847.78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2.少数股东损益（净亏损以“—”号填列）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10,429,498.89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-9,112,653.63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六、其他综合收益的税后净额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-66,991,784.24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22,363,915.68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归属母公司所有者的其他综合收益的税后净额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-66,991,784.24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22,363,915.68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1,141,722.43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1.重新计量设定受益计划变动额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1,141,722.43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-67,916,889.12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21,222,193.25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-67,916,889.12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21,222,193.25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七、综合收益总额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-11,757,664.18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94,654,109.83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归属于母公司所有者的综合收益总额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-22,187,163.07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103,766,763.46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10,429,498.89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-9,112,653.63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八、每股收益：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0.05</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本期发生同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下企业合并的，被合并方在合并前实现的净利润为：0.00元，上期被合并方实现的净利润为：0.00元。</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法定代表人：孙伟挺    主管会计工作负责人：陈玲芬    会计机构负责人：王国友</w:t>
      </w:r>
    </w:p>
    <w:p w:rsidR="00037019" w:rsidRDefault="00BE788E">
      <w:pPr>
        <w:pStyle w:val="3"/>
        <w:spacing w:line="280" w:lineRule="exact"/>
        <w:jc w:val="left"/>
        <w:rPr>
          <w:rFonts w:ascii="宋体" w:hAnsi="宋体" w:cs="宋体"/>
          <w:b/>
          <w:bCs/>
        </w:rPr>
      </w:pPr>
      <w:bookmarkStart w:id="7" w:name="_Toc988997"/>
      <w:r>
        <w:rPr>
          <w:rFonts w:ascii="宋体" w:hAnsi="宋体" w:cs="宋体"/>
          <w:b/>
          <w:bCs/>
        </w:rPr>
        <w:lastRenderedPageBreak/>
        <w:t>4、母公司利润表</w:t>
      </w:r>
      <w:bookmarkEnd w:id="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2024年半年度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2023年半年度</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522,707,909.71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610,952,982.54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424,899,507.08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480,422,738.95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5,406,256.19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4,243,930.38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1,673,722.91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239,581.05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12,007,196.87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13,738,991.88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21,862,656.28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19,521,495.48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9,371,009.27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6,026,299.53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5,263,710.45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6,601,502.32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700" w:firstLine="126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-1,036,781.23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365,890.36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2,913,461.69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3,095,587.30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840,863.69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134,793,790.09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700" w:firstLine="1260"/>
              <w:rPr>
                <w:rFonts w:ascii="宋体" w:eastAsia="宋体" w:hAnsi="宋体" w:cs="宋体"/>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82,227.04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-18,123,719.35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394,675.29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-467,801.24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6,011,466.57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-25,931.21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51,692,857.61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212,069,268.64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2,679.42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43,140.14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571,601.55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15,000.98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51,123,935.48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212,097,407.80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-1,518,859.80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-2,463,594.56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四、净利润（净亏损以“—”号填列）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52,642,795.28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214,561,002.36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52,642,795.28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214,561,002.36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（二）终止经营净利润（净亏损以“—”号填列）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五、其他综合收益的税后净额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1,141,722.43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1,141,722.43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1.重新计量设定受益计划变动</w:t>
            </w:r>
            <w:r>
              <w:rPr>
                <w:rFonts w:ascii="宋体" w:eastAsia="宋体" w:hAnsi="宋体" w:cs="宋体"/>
                <w:sz w:val="18"/>
                <w:szCs w:val="18"/>
              </w:rPr>
              <w:lastRenderedPageBreak/>
              <w:t>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lastRenderedPageBreak/>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1,141,722.43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六、综合收益总额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53,567,900.16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215,702,724.79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七、每股收益：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pStyle w:val="3"/>
        <w:spacing w:line="280" w:lineRule="exact"/>
        <w:jc w:val="left"/>
        <w:rPr>
          <w:rFonts w:ascii="宋体" w:hAnsi="宋体" w:cs="宋体"/>
          <w:b/>
          <w:bCs/>
        </w:rPr>
      </w:pPr>
      <w:bookmarkStart w:id="8" w:name="_Toc988998"/>
      <w:r>
        <w:rPr>
          <w:rFonts w:ascii="宋体" w:hAnsi="宋体" w:cs="宋体"/>
          <w:b/>
          <w:bCs/>
        </w:rPr>
        <w:t>5、合并现金流量表</w:t>
      </w:r>
      <w:bookmarkEnd w:id="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2024年半年度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2023年半年度</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7,433,540,349.56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7,158,635,091.85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客户存款和同业存放款项净增加额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向其他金融机构拆入资金净增加额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收到原保险合同保费取得的现金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收到再保业务现金净额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保户储金及投资款净增加额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收取利息、手续费及佣金的现金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回购业务资金净增加额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8,417,045.56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15,913,783.54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561,046,643.88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531,898,079.79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8,003,004,039.00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7,706,446,955.18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5,655,063,802.73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5,002,770,829.25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客户贷款及垫款净增加额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存放中央银行和同业款项净增加额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支付原保险合同赔付款项的现金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支付保单红利的现金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401,139,783.32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403,966,231.37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190,636,894.26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179,327,704.60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662,991,344.06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595,660,630.84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6,909,831,824.37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6,181,725,396.06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1,093,172,214.63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1,524,721,559.12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345,957,416.88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57,920,200.00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20,263,620.99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52,251,517.41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6,333,987.02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21,902,479.12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2,601,000.00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77,350,000.00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827,984,314.21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375,156,024.89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1,037,408,510.74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352,319,925.52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183,764,050.22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340,729,630.86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47,465,000.00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质押贷款净增加额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562,100,036.98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693,549,556.38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793,329,087.20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-318,393,531.49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244,079,423.54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其中：子公司吸收少数股东投资收到的现金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5,988,280,421.01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5,901,274,619.72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19,918,769.82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166,977,948.39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6,008,199,190.83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6,068,252,568.11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5,458,843,788.25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5,796,675,905.22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91,931,370.83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120,539,176.99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其中：子公司支付给少数股东的股利、利润</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1,809,510,292.02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1,519,402,260.31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7,360,285,451.10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7,436,617,342.52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-1,352,086,260.27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-1,368,364,774.41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8,296,609.75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-7,266,244.95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-569,010,967.38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393,169,963.30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2,183,880,557.50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1,614,869,590.12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2,234,988,516.88</w:t>
            </w:r>
          </w:p>
        </w:tc>
      </w:tr>
    </w:tbl>
    <w:p w:rsidR="00037019" w:rsidRDefault="00BE788E">
      <w:pPr>
        <w:pStyle w:val="3"/>
        <w:spacing w:line="280" w:lineRule="exact"/>
        <w:jc w:val="left"/>
        <w:rPr>
          <w:rFonts w:ascii="宋体" w:hAnsi="宋体" w:cs="宋体"/>
          <w:b/>
          <w:bCs/>
        </w:rPr>
      </w:pPr>
      <w:bookmarkStart w:id="9" w:name="_Toc988999"/>
      <w:r>
        <w:rPr>
          <w:rFonts w:ascii="宋体" w:hAnsi="宋体" w:cs="宋体"/>
          <w:b/>
          <w:bCs/>
        </w:rPr>
        <w:t>6、母公司现金流量表</w:t>
      </w:r>
      <w:bookmarkEnd w:id="9"/>
    </w:p>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2024年半年度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2023年半年度</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694,364,931.68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506,893,247.16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38,027,016.40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65,653,421.14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732,391,948.08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572,546,668.30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368,403,618.31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796,184,911.06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35,608,674.47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49,368,115.62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30,608,916.00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11,722,670.71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58,038,629.78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31,215,319.49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492,659,838.56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888,491,016.88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239,732,109.52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-315,944,348.58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1,880,275.87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45,385,000.00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4,868.14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118,000,000.00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1,885,144.01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163,385,000.00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103,930,415.50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112,648,798.20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103,930,415.50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112,648,798.20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-102,045,271.49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50,736,201.80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111,316,182.95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330,000,000.00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111,316,182.95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330,000,000.00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8,727,886.74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5,728,250.01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209,727,671.77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153,096,733.44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248,455,558.51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158,824,983.45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-137,139,375.56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171,175,016.55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8,318.91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42,191.10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555,781.38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-93,990,939.13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35,219,200.57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136,786,651.88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35,774,981.95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42,795,712.75</w:t>
            </w:r>
          </w:p>
        </w:tc>
      </w:tr>
    </w:tbl>
    <w:p w:rsidR="00037019" w:rsidRDefault="00BE788E">
      <w:pPr>
        <w:pStyle w:val="3"/>
        <w:spacing w:line="280" w:lineRule="exact"/>
        <w:jc w:val="left"/>
        <w:rPr>
          <w:rFonts w:ascii="宋体" w:hAnsi="宋体" w:cs="宋体"/>
          <w:b/>
          <w:bCs/>
        </w:rPr>
      </w:pPr>
      <w:bookmarkStart w:id="10" w:name="_Toc989000"/>
      <w:r>
        <w:rPr>
          <w:rFonts w:ascii="宋体" w:hAnsi="宋体" w:cs="宋体"/>
          <w:b/>
          <w:bCs/>
        </w:rPr>
        <w:t>7、合并所有者权益变动表</w:t>
      </w:r>
      <w:bookmarkEnd w:id="10"/>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本期金额</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98"/>
        <w:gridCol w:w="562"/>
        <w:gridCol w:w="562"/>
        <w:gridCol w:w="562"/>
        <w:gridCol w:w="562"/>
        <w:gridCol w:w="563"/>
        <w:gridCol w:w="563"/>
        <w:gridCol w:w="563"/>
        <w:gridCol w:w="563"/>
        <w:gridCol w:w="563"/>
        <w:gridCol w:w="563"/>
        <w:gridCol w:w="563"/>
        <w:gridCol w:w="563"/>
        <w:gridCol w:w="563"/>
        <w:gridCol w:w="563"/>
        <w:gridCol w:w="563"/>
      </w:tblGrid>
      <w:tr w:rsidR="00037019">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2024年半年度</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314"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归属于母公司所有者权益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0" w:lineRule="atLeast"/>
              <w:jc w:val="center"/>
              <w:rPr>
                <w:rFonts w:ascii="宋体" w:eastAsia="宋体" w:hAnsi="宋体" w:cs="宋体"/>
                <w:sz w:val="18"/>
                <w:szCs w:val="18"/>
              </w:rPr>
            </w:pPr>
            <w:r>
              <w:rPr>
                <w:rFonts w:ascii="宋体" w:eastAsia="宋体" w:hAnsi="宋体" w:cs="宋体"/>
                <w:sz w:val="18"/>
                <w:szCs w:val="18"/>
              </w:rPr>
              <w:t>少数股东权益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1688"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一般风险准备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w:t>
            </w:r>
            <w:r>
              <w:rPr>
                <w:rFonts w:ascii="宋体" w:eastAsia="宋体" w:hAnsi="宋体" w:cs="宋体"/>
                <w:sz w:val="18"/>
                <w:szCs w:val="18"/>
              </w:rPr>
              <w:lastRenderedPageBreak/>
              <w:t>5.00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2,738,348,95</w:t>
            </w:r>
            <w:r>
              <w:rPr>
                <w:rFonts w:ascii="宋体" w:eastAsia="宋体" w:hAnsi="宋体" w:cs="宋体"/>
                <w:sz w:val="18"/>
                <w:szCs w:val="18"/>
              </w:rPr>
              <w:lastRenderedPageBreak/>
              <w:t>3.80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200,071,093.</w:t>
            </w:r>
            <w:r>
              <w:rPr>
                <w:rFonts w:ascii="宋体" w:eastAsia="宋体" w:hAnsi="宋体" w:cs="宋体"/>
                <w:sz w:val="18"/>
                <w:szCs w:val="18"/>
              </w:rPr>
              <w:lastRenderedPageBreak/>
              <w:t>36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-96,153,50</w:t>
            </w:r>
            <w:r>
              <w:rPr>
                <w:rFonts w:ascii="宋体" w:eastAsia="宋体" w:hAnsi="宋体" w:cs="宋体"/>
                <w:sz w:val="18"/>
                <w:szCs w:val="18"/>
              </w:rPr>
              <w:lastRenderedPageBreak/>
              <w:t>6.00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339,467,737.</w:t>
            </w:r>
            <w:r>
              <w:rPr>
                <w:rFonts w:ascii="宋体" w:eastAsia="宋体" w:hAnsi="宋体" w:cs="宋体"/>
                <w:sz w:val="18"/>
                <w:szCs w:val="18"/>
              </w:rPr>
              <w:lastRenderedPageBreak/>
              <w:t>72</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1,674,292,09</w:t>
            </w:r>
            <w:r>
              <w:rPr>
                <w:rFonts w:ascii="宋体" w:eastAsia="宋体" w:hAnsi="宋体" w:cs="宋体"/>
                <w:sz w:val="18"/>
                <w:szCs w:val="18"/>
              </w:rPr>
              <w:lastRenderedPageBreak/>
              <w:t>2.74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6,156,565,53</w:t>
            </w:r>
            <w:r>
              <w:rPr>
                <w:rFonts w:ascii="宋体" w:eastAsia="宋体" w:hAnsi="宋体" w:cs="宋体"/>
                <w:sz w:val="18"/>
                <w:szCs w:val="18"/>
              </w:rPr>
              <w:lastRenderedPageBreak/>
              <w:t>9.90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291,949,555.</w:t>
            </w:r>
            <w:r>
              <w:rPr>
                <w:rFonts w:ascii="宋体" w:eastAsia="宋体" w:hAnsi="宋体" w:cs="宋体"/>
                <w:sz w:val="18"/>
                <w:szCs w:val="18"/>
              </w:rPr>
              <w:lastRenderedPageBreak/>
              <w:t>56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6,448,515,09</w:t>
            </w:r>
            <w:r>
              <w:rPr>
                <w:rFonts w:ascii="宋体" w:eastAsia="宋体" w:hAnsi="宋体" w:cs="宋体"/>
                <w:sz w:val="18"/>
                <w:szCs w:val="18"/>
              </w:rPr>
              <w:lastRenderedPageBreak/>
              <w:t>5.46</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lastRenderedPageBreak/>
              <w:t>加：会计政策变更</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2,738,348,953.80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-96,153,506.00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339,467,737.72</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1,674,292,092.74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6,156,565,539.90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291,949,555.56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6,448,515,095.46</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三、本期增减变动金额（减少以“—”号填列）</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-66,991,784.24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44,804,621.17</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-122,220,277.55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5,591,280.59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-116,628,996.96</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-66,991,784.24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44,804,621.17</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-22,187,163.07</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10,429,498.89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-11,757,664.18</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-4,838,218.30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-104,871,332.78</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-4,838,218.30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-104,871,332.78</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1．提取盈余公积</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2．提取一般风险准备</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3．对所有者（或股东）的分配</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5．其他综合收益结转留存收益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2,738,348,953.80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300,104,207.84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-163,145,290.24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339,467,737.72</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1,719,096,713.91</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6,034,345,262.35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297,540,836.15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6,331,886,098.50</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上年金额</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98"/>
        <w:gridCol w:w="562"/>
        <w:gridCol w:w="562"/>
        <w:gridCol w:w="562"/>
        <w:gridCol w:w="562"/>
        <w:gridCol w:w="563"/>
        <w:gridCol w:w="563"/>
        <w:gridCol w:w="563"/>
        <w:gridCol w:w="563"/>
        <w:gridCol w:w="563"/>
        <w:gridCol w:w="563"/>
        <w:gridCol w:w="563"/>
        <w:gridCol w:w="563"/>
        <w:gridCol w:w="563"/>
        <w:gridCol w:w="563"/>
        <w:gridCol w:w="563"/>
      </w:tblGrid>
      <w:tr w:rsidR="00037019">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2023年半年度</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314"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归属于母公司所有者权益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少数股东权益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1688"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专项储备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一般风险准备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w:t>
            </w:r>
            <w:r>
              <w:rPr>
                <w:rFonts w:ascii="宋体" w:eastAsia="宋体" w:hAnsi="宋体" w:cs="宋体"/>
                <w:sz w:val="18"/>
                <w:szCs w:val="18"/>
              </w:rPr>
              <w:lastRenderedPageBreak/>
              <w:t>5.00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2,740,826,58</w:t>
            </w:r>
            <w:r>
              <w:rPr>
                <w:rFonts w:ascii="宋体" w:eastAsia="宋体" w:hAnsi="宋体" w:cs="宋体"/>
                <w:sz w:val="18"/>
                <w:szCs w:val="18"/>
              </w:rPr>
              <w:lastRenderedPageBreak/>
              <w:t>3.55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46,974,359.9</w:t>
            </w:r>
            <w:r>
              <w:rPr>
                <w:rFonts w:ascii="宋体" w:eastAsia="宋体" w:hAnsi="宋体" w:cs="宋体"/>
                <w:sz w:val="18"/>
                <w:szCs w:val="18"/>
              </w:rPr>
              <w:lastRenderedPageBreak/>
              <w:t>2</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-48,175,53</w:t>
            </w:r>
            <w:r>
              <w:rPr>
                <w:rFonts w:ascii="宋体" w:eastAsia="宋体" w:hAnsi="宋体" w:cs="宋体"/>
                <w:sz w:val="18"/>
                <w:szCs w:val="18"/>
              </w:rPr>
              <w:lastRenderedPageBreak/>
              <w:t>6.34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302,737,887.</w:t>
            </w:r>
            <w:r>
              <w:rPr>
                <w:rFonts w:ascii="宋体" w:eastAsia="宋体" w:hAnsi="宋体" w:cs="宋体"/>
                <w:sz w:val="18"/>
                <w:szCs w:val="18"/>
              </w:rPr>
              <w:lastRenderedPageBreak/>
              <w:t>79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1,643,586,80</w:t>
            </w:r>
            <w:r>
              <w:rPr>
                <w:rFonts w:ascii="宋体" w:eastAsia="宋体" w:hAnsi="宋体" w:cs="宋体"/>
                <w:sz w:val="18"/>
                <w:szCs w:val="18"/>
              </w:rPr>
              <w:lastRenderedPageBreak/>
              <w:t>0.21</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6,292,682,73</w:t>
            </w:r>
            <w:r>
              <w:rPr>
                <w:rFonts w:ascii="宋体" w:eastAsia="宋体" w:hAnsi="宋体" w:cs="宋体"/>
                <w:sz w:val="18"/>
                <w:szCs w:val="18"/>
              </w:rPr>
              <w:lastRenderedPageBreak/>
              <w:t>0.29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485,981,399.</w:t>
            </w:r>
            <w:r>
              <w:rPr>
                <w:rFonts w:ascii="宋体" w:eastAsia="宋体" w:hAnsi="宋体" w:cs="宋体"/>
                <w:sz w:val="18"/>
                <w:szCs w:val="18"/>
              </w:rPr>
              <w:lastRenderedPageBreak/>
              <w:t>13</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6,778,664,12</w:t>
            </w:r>
            <w:r>
              <w:rPr>
                <w:rFonts w:ascii="宋体" w:eastAsia="宋体" w:hAnsi="宋体" w:cs="宋体"/>
                <w:sz w:val="18"/>
                <w:szCs w:val="18"/>
              </w:rPr>
              <w:lastRenderedPageBreak/>
              <w:t>9.42</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lastRenderedPageBreak/>
              <w:t>加：会计政策变更</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2,740,826,583.55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1,643,586,800.21</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6,292,682,730.29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485,981,399.13</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6,778,664,129.42</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三、本期增减变动金额（减少以“—”号填列）</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81,402,847.78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-70,446,037.14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-31,709,211.67</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-102,155,248.81</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81,402,847.78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103,766,763.46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-9,112,653.63</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94,654,109.83</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-174,212,800.60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-17,164,804.15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-191,377,604.75</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-174,212,800.60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-17,164,804.15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-191,377,604.75</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-5,431,753.89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-5,431,753.89</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1．提取盈余公积</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2．提取一般风险准备</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3．对所有者（或股东）的分配</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-5,431,753.89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-5,431,753.89</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5．其他综合收益结转留存收益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2,719,710,516.39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-25,811,620.66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1,724,989,647.99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6,222,236,693.15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454,272,187.46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6,676,508,880.61</w:t>
            </w:r>
          </w:p>
        </w:tc>
      </w:tr>
    </w:tbl>
    <w:p w:rsidR="00037019" w:rsidRDefault="00BE788E">
      <w:pPr>
        <w:pStyle w:val="3"/>
        <w:spacing w:line="280" w:lineRule="exact"/>
        <w:jc w:val="left"/>
        <w:rPr>
          <w:rFonts w:ascii="宋体" w:hAnsi="宋体" w:cs="宋体"/>
          <w:b/>
          <w:bCs/>
        </w:rPr>
      </w:pPr>
      <w:bookmarkStart w:id="11" w:name="_Toc989001"/>
      <w:r>
        <w:rPr>
          <w:rFonts w:ascii="宋体" w:hAnsi="宋体" w:cs="宋体"/>
          <w:b/>
          <w:bCs/>
        </w:rPr>
        <w:t>8、母公司所有者权益变动表</w:t>
      </w:r>
      <w:bookmarkEnd w:id="1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本期金额</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0"/>
        <w:gridCol w:w="703"/>
        <w:gridCol w:w="703"/>
        <w:gridCol w:w="703"/>
        <w:gridCol w:w="704"/>
        <w:gridCol w:w="703"/>
        <w:gridCol w:w="703"/>
        <w:gridCol w:w="703"/>
        <w:gridCol w:w="703"/>
        <w:gridCol w:w="703"/>
        <w:gridCol w:w="703"/>
        <w:gridCol w:w="703"/>
        <w:gridCol w:w="705"/>
      </w:tblGrid>
      <w:tr w:rsidR="00037019">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2024年半年度</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211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一、上年期末余额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14,003,424.37</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307,872,299.19</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547,798,739.86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5,477,215,483.21</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14,003,424.37</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307,872,299.19</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547,798,739.86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5,477,215,483.21</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三、本期增减变动金额（减少以“—”号填列）</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52,642,795.28</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-46,465,214.32</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52,642,795.28</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-46,465,214.32</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1．提取盈余公积</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2．对所有者（或股东）的分配</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2．盈余公</w:t>
            </w:r>
            <w:r>
              <w:rPr>
                <w:rFonts w:ascii="宋体" w:eastAsia="宋体" w:hAnsi="宋体" w:cs="宋体"/>
                <w:sz w:val="18"/>
                <w:szCs w:val="18"/>
              </w:rPr>
              <w:lastRenderedPageBreak/>
              <w:t>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3．盈余公积弥补亏损</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5．其他综合收益结转留存收益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300,104,207.84</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14,928,529.25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307,872,299.19</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600,441,535.14</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5,430,750,268.89</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上年金额</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0"/>
        <w:gridCol w:w="703"/>
        <w:gridCol w:w="703"/>
        <w:gridCol w:w="703"/>
        <w:gridCol w:w="704"/>
        <w:gridCol w:w="703"/>
        <w:gridCol w:w="703"/>
        <w:gridCol w:w="703"/>
        <w:gridCol w:w="703"/>
        <w:gridCol w:w="703"/>
        <w:gridCol w:w="703"/>
        <w:gridCol w:w="703"/>
        <w:gridCol w:w="705"/>
      </w:tblGrid>
      <w:tr w:rsidR="00037019">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2023年半年度</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211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217,230,090.53</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217,230,090.53</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三、本期增减变动金额（减少以“—”号填列）</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214,561,002.36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62,605,991.35</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（一）综合</w:t>
            </w:r>
            <w:r>
              <w:rPr>
                <w:rFonts w:ascii="宋体" w:eastAsia="宋体" w:hAnsi="宋体" w:cs="宋体"/>
                <w:sz w:val="18"/>
                <w:szCs w:val="18"/>
              </w:rPr>
              <w:lastRenderedPageBreak/>
              <w:t>收益总额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153,0</w:t>
            </w:r>
            <w:r>
              <w:rPr>
                <w:rFonts w:ascii="宋体" w:eastAsia="宋体" w:hAnsi="宋体" w:cs="宋体"/>
                <w:sz w:val="18"/>
                <w:szCs w:val="18"/>
              </w:rPr>
              <w:lastRenderedPageBreak/>
              <w:t>96,733.44</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1,141</w:t>
            </w:r>
            <w:r>
              <w:rPr>
                <w:rFonts w:ascii="宋体" w:eastAsia="宋体" w:hAnsi="宋体" w:cs="宋体"/>
                <w:sz w:val="18"/>
                <w:szCs w:val="18"/>
              </w:rPr>
              <w:lastRenderedPageBreak/>
              <w:t>,722.43</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214,5</w:t>
            </w:r>
            <w:r>
              <w:rPr>
                <w:rFonts w:ascii="宋体" w:eastAsia="宋体" w:hAnsi="宋体" w:cs="宋体"/>
                <w:sz w:val="18"/>
                <w:szCs w:val="18"/>
              </w:rPr>
              <w:lastRenderedPageBreak/>
              <w:t>61,002.36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62,60</w:t>
            </w:r>
            <w:r>
              <w:rPr>
                <w:rFonts w:ascii="宋体" w:eastAsia="宋体" w:hAnsi="宋体" w:cs="宋体"/>
                <w:sz w:val="18"/>
                <w:szCs w:val="18"/>
              </w:rPr>
              <w:lastRenderedPageBreak/>
              <w:t>5,991.35</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（二）所有者投入和减少资本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1．提取盈余公积</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2．对所有者（或股东）的分配</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5．其他综合收益结转留存收益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四、本期期末余额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16,610,961.28</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431,791,092.89</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5,327,085,523.22</w:t>
            </w:r>
          </w:p>
        </w:tc>
      </w:tr>
    </w:tbl>
    <w:p w:rsidR="00037019" w:rsidRDefault="00BE788E">
      <w:pPr>
        <w:pStyle w:val="2"/>
        <w:spacing w:before="300" w:after="300" w:line="320" w:lineRule="exact"/>
        <w:rPr>
          <w:rFonts w:ascii="宋体" w:eastAsia="宋体" w:hAnsi="宋体" w:cs="宋体"/>
          <w:b/>
          <w:bCs/>
          <w:sz w:val="24"/>
          <w:szCs w:val="24"/>
        </w:rPr>
      </w:pPr>
      <w:bookmarkStart w:id="12" w:name="_Toc989002"/>
      <w:r>
        <w:rPr>
          <w:rFonts w:ascii="宋体" w:eastAsia="宋体" w:hAnsi="宋体" w:cs="宋体"/>
          <w:b/>
          <w:bCs/>
          <w:sz w:val="24"/>
          <w:szCs w:val="24"/>
        </w:rPr>
        <w:t>三、公司基本情况</w:t>
      </w:r>
      <w:bookmarkEnd w:id="12"/>
    </w:p>
    <w:p w:rsidR="00BE788E" w:rsidRPr="00AC0334" w:rsidRDefault="00BE788E" w:rsidP="00AC0334">
      <w:pPr>
        <w:pStyle w:val="a3"/>
        <w:spacing w:before="0" w:beforeAutospacing="0" w:after="0" w:afterAutospacing="0"/>
        <w:divId w:val="1525905460"/>
        <w:rPr>
          <w:rFonts w:asciiTheme="minorEastAsia" w:eastAsiaTheme="minorEastAsia" w:hAnsiTheme="minorEastAsia" w:cs="Calibri"/>
          <w:sz w:val="21"/>
          <w:szCs w:val="21"/>
        </w:rPr>
      </w:pPr>
      <w:r w:rsidRPr="00AC0334">
        <w:rPr>
          <w:rFonts w:asciiTheme="minorEastAsia" w:eastAsiaTheme="minorEastAsia" w:hAnsiTheme="minorEastAsia" w:cs="Calibri" w:hint="eastAsia"/>
          <w:sz w:val="18"/>
          <w:szCs w:val="18"/>
        </w:rPr>
        <w:t>公司注册地、组织形式和总部地址</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华孚时尚股份有限公司（以下简称“公司”或“本公司”）前身系于2000年10月经安徽省体改委【皖体改函[2000]79号】、安徽省人民政府【皖府股字[2000]第37号】文批准，由安徽飞亚纺织集团有限公司(以下简称“飞亚集团”)作为主发起人，联合上海东华大学科技园发展有限公司、淮北印染集团公司、上海市纺织科学研究院、安徽省国有资产运营有限公司、淮北市国有资产运营有限公司等五家企业共同发起，采用募集方式设立的股份有限公司。并于2000 年10 月31 日在安徽省工商行政管理局登记注册，注册资本为6,000.00万元。根据本公司2003 年第一次临时股东大会决议，并经中国证券监督管理委员会证</w:t>
      </w:r>
      <w:proofErr w:type="gramStart"/>
      <w:r w:rsidRPr="00AC0334">
        <w:rPr>
          <w:rFonts w:asciiTheme="minorEastAsia" w:eastAsiaTheme="minorEastAsia" w:hAnsiTheme="minorEastAsia" w:hint="eastAsia"/>
          <w:sz w:val="18"/>
          <w:szCs w:val="18"/>
        </w:rPr>
        <w:t>监发行字</w:t>
      </w:r>
      <w:proofErr w:type="gramEnd"/>
      <w:r w:rsidRPr="00AC0334">
        <w:rPr>
          <w:rFonts w:asciiTheme="minorEastAsia" w:eastAsiaTheme="minorEastAsia" w:hAnsiTheme="minorEastAsia" w:hint="eastAsia"/>
          <w:sz w:val="18"/>
          <w:szCs w:val="18"/>
        </w:rPr>
        <w:t>[2005]9号文核准，本公司于2005 年4 月向社会公众公开发行股票4,000万股，2005年4 月27日在深圳证券交易所挂牌上市。</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2008年1月22日淮北市人民政府国有资产监督管理委员会与华孚控股有限公司(以下简称“华孚控股”)</w:t>
      </w:r>
      <w:proofErr w:type="gramStart"/>
      <w:r w:rsidRPr="00AC0334">
        <w:rPr>
          <w:rFonts w:asciiTheme="minorEastAsia" w:eastAsiaTheme="minorEastAsia" w:hAnsiTheme="minorEastAsia" w:hint="eastAsia"/>
          <w:sz w:val="18"/>
          <w:szCs w:val="18"/>
        </w:rPr>
        <w:t>签定</w:t>
      </w:r>
      <w:proofErr w:type="gramEnd"/>
      <w:r w:rsidRPr="00AC0334">
        <w:rPr>
          <w:rFonts w:asciiTheme="minorEastAsia" w:eastAsiaTheme="minorEastAsia" w:hAnsiTheme="minorEastAsia" w:hint="eastAsia"/>
          <w:sz w:val="18"/>
          <w:szCs w:val="18"/>
        </w:rPr>
        <w:t>《产权交易合同》，华孚控股拟收购淮北市人民政府国有资产监督管理委员会持有的飞亚集团100%的股权，飞亚集团持有本公司40.55%的股权。</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上述转让经2008年4月6日国务院国有资产监督管理委员会国资产权［2008］357号《关于安徽飞亚纺织发展股份有限公司间接转让涉及的国有股东性质变更有关问题的批复》以及2008年6月27日中国证券监督管理委员会证监许可［2008］849号《关于核准华孚控股有限公司公告安徽飞亚纺织发展股份有限公司收购报告书的批复》批准。2008年12月10日完成工商变更登记手续，飞亚集团变更为华孚控股全资子公司。</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2008年1月30日，飞亚集团分别与受让方廖煜、赵伟光和陈敏签署了股权转让协议。飞亚集团以协议转让方式分别向廖煜、赵伟光和陈敏转让499万股本公司股权，合计转让1,497万股权，占本公司总股本的14.97%。飞亚集团减持后持有本公司2,557.91万股，占总股本的25.58%，该转让于2008年12月3日完成股权过户手续。</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本公司2008年5月15日与华孚控股、深圳市华人投资有限公司及朱翠云、宋江、顾振华、潘金平、齐昌玮、张小荷、项小岳、王斌签署了《非公开发行股份与资产购买协议书》，并经2008年第三届董事会第三次会议决议、2008年第二次临时股东大会决议通过，本公司以通过非公开发行13,511.10万股普通股为对价，认购华孚控股、深圳市华人投资有限公司及朱翠云、宋江、顾振华、潘金平、齐昌玮、张小荷、项小岳、王斌八位自然人合计持有的深圳市华孚进出口有限公司100%股权；认购华孚控股持有的江西华孚色纺有限公司40%股权、持有的浙江缙云华孚纺织有限公司29.70%股权以及持有的浙江金棉纺织有限公司37.50%股权(以下简称“标的资产”)。</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2008年12月29日，根据中国证券监督管理委员会上市公司并购重组审核委员会审核结果，本公司发行股份购买资产暨关联交易获得有条件通过。</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2008年12月31日，本公司召开2008年第四次临时股东大会，决议通过《关于变更公司注册名称的议案》，本公司注册名称拟由“安徽飞亚纺织发展股份有限公司”变更为“安徽华孚色纺股份有限公司”，并于2009年1月5日完成工商变更登记手续。</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2009年3月19日，本公司召开2008年度股东大会，决议通过《关于变更公司注册名称的议案》，本公司注册名称拟由“安徽华孚色纺股份有限公司”变更为“华孚色纺股份有限公司”。</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本公司2017年8月23日召开第六届董事会第八次会议、2017年9月12日召开2017年第二次临时股东大会审议通过了《关于拟变更公司名称、证券简称及修订〈公司章程〉的议案》，公司名称由华孚色纺股份有限公司变更为华孚时尚股份有限公司，现持有统一社会信用代码为9134060072553187XK的营业执照。</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经过历年的派送红股、配售新股、转增股本及增发新股，截止2023年12月31日，本公司累计发行股本总数170,068.1355万股，注册资本为170,068.1355万元，注册地址：淮北经济开发区新区石山路6号，总部地址：广东省深圳市福田区</w:t>
      </w:r>
      <w:proofErr w:type="gramStart"/>
      <w:r w:rsidRPr="00AC0334">
        <w:rPr>
          <w:rFonts w:asciiTheme="minorEastAsia" w:eastAsiaTheme="minorEastAsia" w:hAnsiTheme="minorEastAsia" w:hint="eastAsia"/>
          <w:sz w:val="18"/>
          <w:szCs w:val="18"/>
        </w:rPr>
        <w:t>市花路</w:t>
      </w:r>
      <w:proofErr w:type="gramEnd"/>
      <w:r w:rsidRPr="00AC0334">
        <w:rPr>
          <w:rFonts w:asciiTheme="minorEastAsia" w:eastAsiaTheme="minorEastAsia" w:hAnsiTheme="minorEastAsia" w:hint="eastAsia"/>
          <w:sz w:val="18"/>
          <w:szCs w:val="18"/>
        </w:rPr>
        <w:t>5号</w:t>
      </w:r>
      <w:proofErr w:type="gramStart"/>
      <w:r w:rsidRPr="00AC0334">
        <w:rPr>
          <w:rFonts w:asciiTheme="minorEastAsia" w:eastAsiaTheme="minorEastAsia" w:hAnsiTheme="minorEastAsia" w:hint="eastAsia"/>
          <w:sz w:val="18"/>
          <w:szCs w:val="18"/>
        </w:rPr>
        <w:t>长富金茂</w:t>
      </w:r>
      <w:proofErr w:type="gramEnd"/>
      <w:r w:rsidRPr="00AC0334">
        <w:rPr>
          <w:rFonts w:asciiTheme="minorEastAsia" w:eastAsiaTheme="minorEastAsia" w:hAnsiTheme="minorEastAsia" w:hint="eastAsia"/>
          <w:sz w:val="18"/>
          <w:szCs w:val="18"/>
        </w:rPr>
        <w:t>大厦59楼，母公司为华孚控股有限公司，最终实际控制人为孙伟挺、陈玲芬。</w:t>
      </w:r>
    </w:p>
    <w:p w:rsidR="00BE788E" w:rsidRPr="00AC0334" w:rsidRDefault="00BE788E" w:rsidP="00AC0334">
      <w:pPr>
        <w:pStyle w:val="a3"/>
        <w:spacing w:before="0" w:beforeAutospacing="0" w:after="0" w:afterAutospacing="0"/>
        <w:ind w:firstLine="540"/>
        <w:divId w:val="1525905460"/>
        <w:rPr>
          <w:rFonts w:asciiTheme="minorEastAsia" w:eastAsiaTheme="minorEastAsia" w:hAnsiTheme="minorEastAsia" w:cs="Calibri"/>
          <w:sz w:val="21"/>
          <w:szCs w:val="21"/>
        </w:rPr>
      </w:pPr>
      <w:r w:rsidRPr="00AC0334">
        <w:rPr>
          <w:rFonts w:asciiTheme="minorEastAsia" w:eastAsiaTheme="minorEastAsia" w:hAnsiTheme="minorEastAsia" w:cs="Calibri" w:hint="eastAsia"/>
          <w:sz w:val="18"/>
          <w:szCs w:val="18"/>
        </w:rPr>
        <w:t>公司业务性质和主要经营活动</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lastRenderedPageBreak/>
        <w:t>本公司属纺织行业，主要经营活动：纱线的研发、生产、销售；棉花的采购、加工、销售；</w:t>
      </w:r>
      <w:proofErr w:type="gramStart"/>
      <w:r w:rsidRPr="00AC0334">
        <w:rPr>
          <w:rFonts w:asciiTheme="minorEastAsia" w:eastAsiaTheme="minorEastAsia" w:hAnsiTheme="minorEastAsia" w:hint="eastAsia"/>
          <w:sz w:val="18"/>
          <w:szCs w:val="18"/>
        </w:rPr>
        <w:t>袜</w:t>
      </w:r>
      <w:proofErr w:type="gramEnd"/>
      <w:r w:rsidRPr="00AC0334">
        <w:rPr>
          <w:rFonts w:asciiTheme="minorEastAsia" w:eastAsiaTheme="minorEastAsia" w:hAnsiTheme="minorEastAsia" w:hint="eastAsia"/>
          <w:sz w:val="18"/>
          <w:szCs w:val="18"/>
        </w:rPr>
        <w:t>制品设计、生产、销售等。</w:t>
      </w:r>
    </w:p>
    <w:p w:rsidR="00BE788E" w:rsidRPr="00AC0334" w:rsidRDefault="00BE788E" w:rsidP="00AC0334">
      <w:pPr>
        <w:pStyle w:val="a3"/>
        <w:spacing w:before="0" w:beforeAutospacing="0" w:after="0" w:afterAutospacing="0"/>
        <w:ind w:firstLine="540"/>
        <w:jc w:val="both"/>
        <w:divId w:val="1525905460"/>
        <w:rPr>
          <w:rFonts w:asciiTheme="minorEastAsia" w:eastAsiaTheme="minorEastAsia" w:hAnsiTheme="minorEastAsia" w:cs="Calibri"/>
          <w:sz w:val="21"/>
          <w:szCs w:val="21"/>
        </w:rPr>
      </w:pPr>
      <w:r w:rsidRPr="00AC0334">
        <w:rPr>
          <w:rFonts w:asciiTheme="minorEastAsia" w:eastAsiaTheme="minorEastAsia" w:hAnsiTheme="minorEastAsia" w:cs="Calibri" w:hint="eastAsia"/>
          <w:sz w:val="18"/>
          <w:szCs w:val="18"/>
        </w:rPr>
        <w:t>合并财务报表范围</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本公司本期纳入合并范围的子公司共</w:t>
      </w:r>
      <w:r w:rsidRPr="00AC0334">
        <w:rPr>
          <w:rFonts w:asciiTheme="minorEastAsia" w:eastAsiaTheme="minorEastAsia" w:hAnsiTheme="minorEastAsia" w:cs="Times New Roman"/>
          <w:sz w:val="18"/>
          <w:szCs w:val="18"/>
        </w:rPr>
        <w:t>86</w:t>
      </w:r>
      <w:r w:rsidRPr="00AC0334">
        <w:rPr>
          <w:rFonts w:asciiTheme="minorEastAsia" w:eastAsiaTheme="minorEastAsia" w:hAnsiTheme="minorEastAsia" w:hint="eastAsia"/>
          <w:sz w:val="18"/>
          <w:szCs w:val="18"/>
        </w:rPr>
        <w:t>户，详见附注七、在其他主体中的权益。本期纳入合并财务报表范围的主体较上期相比，增加</w:t>
      </w:r>
      <w:r w:rsidRPr="00AC0334">
        <w:rPr>
          <w:rFonts w:asciiTheme="minorEastAsia" w:eastAsiaTheme="minorEastAsia" w:hAnsiTheme="minorEastAsia" w:cs="Times New Roman"/>
          <w:sz w:val="18"/>
          <w:szCs w:val="18"/>
        </w:rPr>
        <w:t>6</w:t>
      </w:r>
      <w:r w:rsidRPr="00AC0334">
        <w:rPr>
          <w:rFonts w:asciiTheme="minorEastAsia" w:eastAsiaTheme="minorEastAsia" w:hAnsiTheme="minorEastAsia" w:hint="eastAsia"/>
          <w:sz w:val="18"/>
          <w:szCs w:val="18"/>
        </w:rPr>
        <w:t>户，减少</w:t>
      </w:r>
      <w:r w:rsidRPr="00AC0334">
        <w:rPr>
          <w:rFonts w:asciiTheme="minorEastAsia" w:eastAsiaTheme="minorEastAsia" w:hAnsiTheme="minorEastAsia" w:cs="Times New Roman"/>
          <w:sz w:val="18"/>
          <w:szCs w:val="18"/>
        </w:rPr>
        <w:t>5</w:t>
      </w:r>
      <w:r w:rsidRPr="00AC0334">
        <w:rPr>
          <w:rFonts w:asciiTheme="minorEastAsia" w:eastAsiaTheme="minorEastAsia" w:hAnsiTheme="minorEastAsia" w:hint="eastAsia"/>
          <w:sz w:val="18"/>
          <w:szCs w:val="18"/>
        </w:rPr>
        <w:t>户，合并范围变更主体的具体信息详见附注六、合并范围的变更。</w:t>
      </w:r>
    </w:p>
    <w:p w:rsidR="00BE788E" w:rsidRPr="00AC0334" w:rsidRDefault="00BE788E" w:rsidP="00AC0334">
      <w:pPr>
        <w:pStyle w:val="a3"/>
        <w:spacing w:before="0" w:beforeAutospacing="0" w:after="0" w:afterAutospacing="0"/>
        <w:ind w:firstLine="540"/>
        <w:divId w:val="1525905460"/>
        <w:rPr>
          <w:rFonts w:asciiTheme="minorEastAsia" w:eastAsiaTheme="minorEastAsia" w:hAnsiTheme="minorEastAsia" w:cs="Calibri"/>
          <w:sz w:val="21"/>
          <w:szCs w:val="21"/>
        </w:rPr>
      </w:pPr>
      <w:r w:rsidRPr="00AC0334">
        <w:rPr>
          <w:rFonts w:asciiTheme="minorEastAsia" w:eastAsiaTheme="minorEastAsia" w:hAnsiTheme="minorEastAsia" w:cs="Calibri" w:hint="eastAsia"/>
          <w:sz w:val="18"/>
          <w:szCs w:val="18"/>
        </w:rPr>
        <w:t>财务报表的批准报出</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本财务报表业经公司董事会于2024年8月29日批准报出。</w:t>
      </w:r>
    </w:p>
    <w:p w:rsidR="00037019" w:rsidRDefault="00BE788E">
      <w:pPr>
        <w:pStyle w:val="2"/>
        <w:spacing w:before="300" w:after="300" w:line="320" w:lineRule="exact"/>
        <w:rPr>
          <w:rFonts w:ascii="宋体" w:eastAsia="宋体" w:hAnsi="宋体" w:cs="宋体"/>
          <w:b/>
          <w:bCs/>
          <w:sz w:val="24"/>
          <w:szCs w:val="24"/>
        </w:rPr>
      </w:pPr>
      <w:bookmarkStart w:id="13" w:name="_Toc989003"/>
      <w:r>
        <w:rPr>
          <w:rFonts w:ascii="宋体" w:eastAsia="宋体" w:hAnsi="宋体" w:cs="宋体"/>
          <w:b/>
          <w:bCs/>
          <w:sz w:val="24"/>
          <w:szCs w:val="24"/>
        </w:rPr>
        <w:t>四、财务报表的编制基础</w:t>
      </w:r>
      <w:bookmarkEnd w:id="13"/>
    </w:p>
    <w:p w:rsidR="00037019" w:rsidRDefault="00BE788E">
      <w:pPr>
        <w:pStyle w:val="3"/>
        <w:spacing w:line="280" w:lineRule="exact"/>
        <w:jc w:val="left"/>
        <w:rPr>
          <w:rFonts w:ascii="宋体" w:hAnsi="宋体" w:cs="宋体"/>
          <w:b/>
          <w:bCs/>
        </w:rPr>
      </w:pPr>
      <w:bookmarkStart w:id="14" w:name="_Toc989004"/>
      <w:r>
        <w:rPr>
          <w:rFonts w:ascii="宋体" w:hAnsi="宋体" w:cs="宋体"/>
          <w:b/>
          <w:bCs/>
        </w:rPr>
        <w:t>1、编制基础</w:t>
      </w:r>
      <w:bookmarkEnd w:id="14"/>
    </w:p>
    <w:p w:rsidR="00BE788E" w:rsidRPr="00AC0334" w:rsidRDefault="00BE788E" w:rsidP="00AC0334">
      <w:pPr>
        <w:pStyle w:val="a3"/>
        <w:spacing w:before="0" w:beforeAutospacing="0" w:after="0" w:afterAutospacing="0"/>
        <w:ind w:firstLine="420"/>
        <w:jc w:val="both"/>
        <w:divId w:val="2048768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本公司根据实际发生的交易和事项，按照财政部颁布的《企业会计准则——基本准则》和具体企业会计准则、企业会计准则应用指南、企业会计准则解释及其他相关规定（以下合称“企业会计准则”）进行确认和计量，在此基础上，结合中国证券监督管理委员会《公开发行证券的公司信息披露编报规则第</w:t>
      </w:r>
      <w:r w:rsidRPr="00AC0334">
        <w:rPr>
          <w:rFonts w:asciiTheme="minorEastAsia" w:eastAsiaTheme="minorEastAsia" w:hAnsiTheme="minorEastAsia"/>
          <w:sz w:val="18"/>
          <w:szCs w:val="18"/>
        </w:rPr>
        <w:t>15</w:t>
      </w:r>
      <w:r w:rsidRPr="00AC0334">
        <w:rPr>
          <w:rFonts w:asciiTheme="minorEastAsia" w:eastAsiaTheme="minorEastAsia" w:hAnsiTheme="minorEastAsia" w:hint="eastAsia"/>
          <w:sz w:val="18"/>
          <w:szCs w:val="18"/>
        </w:rPr>
        <w:t>号——财务报告的一般规定》（</w:t>
      </w:r>
      <w:r w:rsidRPr="00AC0334">
        <w:rPr>
          <w:rFonts w:asciiTheme="minorEastAsia" w:eastAsiaTheme="minorEastAsia" w:hAnsiTheme="minorEastAsia"/>
          <w:sz w:val="18"/>
          <w:szCs w:val="18"/>
        </w:rPr>
        <w:t>2023</w:t>
      </w:r>
      <w:r w:rsidRPr="00AC0334">
        <w:rPr>
          <w:rFonts w:asciiTheme="minorEastAsia" w:eastAsiaTheme="minorEastAsia" w:hAnsiTheme="minorEastAsia" w:hint="eastAsia"/>
          <w:sz w:val="18"/>
          <w:szCs w:val="18"/>
        </w:rPr>
        <w:t>年修订）的规定，编制财务报表。</w:t>
      </w:r>
    </w:p>
    <w:p w:rsidR="00037019" w:rsidRDefault="00BE788E">
      <w:pPr>
        <w:pStyle w:val="3"/>
        <w:spacing w:line="280" w:lineRule="exact"/>
        <w:jc w:val="left"/>
        <w:rPr>
          <w:rFonts w:ascii="宋体" w:hAnsi="宋体" w:cs="宋体"/>
          <w:b/>
          <w:bCs/>
        </w:rPr>
      </w:pPr>
      <w:bookmarkStart w:id="15" w:name="_Toc989005"/>
      <w:r>
        <w:rPr>
          <w:rFonts w:ascii="宋体" w:hAnsi="宋体" w:cs="宋体"/>
          <w:b/>
          <w:bCs/>
        </w:rPr>
        <w:t>2、持续经营</w:t>
      </w:r>
      <w:bookmarkEnd w:id="15"/>
    </w:p>
    <w:p w:rsidR="00BE788E" w:rsidRPr="00AC0334" w:rsidRDefault="00BE788E" w:rsidP="00AC0334">
      <w:pPr>
        <w:pStyle w:val="a3"/>
        <w:spacing w:before="0" w:beforeAutospacing="0" w:after="0" w:afterAutospacing="0"/>
        <w:ind w:firstLine="420"/>
        <w:jc w:val="both"/>
        <w:divId w:val="46493132"/>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本公司对报告</w:t>
      </w:r>
      <w:proofErr w:type="gramStart"/>
      <w:r w:rsidRPr="00AC0334">
        <w:rPr>
          <w:rFonts w:asciiTheme="minorEastAsia" w:eastAsiaTheme="minorEastAsia" w:hAnsiTheme="minorEastAsia" w:hint="eastAsia"/>
          <w:sz w:val="18"/>
          <w:szCs w:val="18"/>
        </w:rPr>
        <w:t>期末起</w:t>
      </w:r>
      <w:proofErr w:type="gramEnd"/>
      <w:r w:rsidRPr="00AC0334">
        <w:rPr>
          <w:rFonts w:asciiTheme="minorEastAsia" w:eastAsiaTheme="minorEastAsia" w:hAnsiTheme="minorEastAsia"/>
          <w:sz w:val="18"/>
          <w:szCs w:val="18"/>
        </w:rPr>
        <w:t>12</w:t>
      </w:r>
      <w:r w:rsidRPr="00AC0334">
        <w:rPr>
          <w:rFonts w:asciiTheme="minorEastAsia" w:eastAsiaTheme="minorEastAsia" w:hAnsiTheme="minorEastAsia" w:hint="eastAsia"/>
          <w:sz w:val="18"/>
          <w:szCs w:val="18"/>
        </w:rPr>
        <w:t>个月的持续经营能力进行了评价，未发现对持续经营能力产生重大怀疑的事项或情况。因此，本财务报表系在持续经营假设的基础上编制。</w:t>
      </w:r>
    </w:p>
    <w:p w:rsidR="00037019" w:rsidRDefault="00BE788E">
      <w:pPr>
        <w:pStyle w:val="2"/>
        <w:spacing w:before="300" w:after="300" w:line="560" w:lineRule="exact"/>
        <w:rPr>
          <w:rFonts w:ascii="宋体" w:eastAsia="宋体" w:hAnsi="宋体" w:cs="宋体"/>
          <w:b/>
          <w:bCs/>
          <w:sz w:val="24"/>
          <w:szCs w:val="24"/>
        </w:rPr>
      </w:pPr>
      <w:bookmarkStart w:id="16" w:name="_Toc989006"/>
      <w:r>
        <w:rPr>
          <w:rFonts w:ascii="宋体" w:eastAsia="宋体" w:hAnsi="宋体" w:cs="宋体"/>
          <w:b/>
          <w:bCs/>
          <w:sz w:val="24"/>
          <w:szCs w:val="24"/>
        </w:rPr>
        <w:t>五、重要会计政策及会计估计</w:t>
      </w:r>
      <w:bookmarkEnd w:id="16"/>
    </w:p>
    <w:p w:rsidR="00037019" w:rsidRPr="00AC0334" w:rsidRDefault="00BE788E" w:rsidP="00AC0334">
      <w:pPr>
        <w:pStyle w:val="a3"/>
        <w:spacing w:before="0" w:beforeAutospacing="0" w:after="0" w:afterAutospacing="0"/>
        <w:ind w:firstLine="420"/>
        <w:jc w:val="both"/>
        <w:rPr>
          <w:rFonts w:asciiTheme="minorEastAsia" w:eastAsiaTheme="minorEastAsia" w:hAnsiTheme="minorEastAsia"/>
          <w:sz w:val="18"/>
          <w:szCs w:val="18"/>
        </w:rPr>
      </w:pPr>
      <w:r w:rsidRPr="00AC0334">
        <w:rPr>
          <w:rFonts w:asciiTheme="minorEastAsia" w:eastAsiaTheme="minorEastAsia" w:hAnsiTheme="minorEastAsia"/>
          <w:sz w:val="18"/>
          <w:szCs w:val="18"/>
        </w:rPr>
        <w:t>具体会计政策和会计估计提示：</w:t>
      </w:r>
    </w:p>
    <w:p w:rsidR="00BE788E" w:rsidRPr="00AC0334" w:rsidRDefault="00BE788E" w:rsidP="00AC0334">
      <w:pPr>
        <w:pStyle w:val="a3"/>
        <w:spacing w:before="0" w:beforeAutospacing="0" w:after="0" w:afterAutospacing="0"/>
        <w:ind w:firstLine="420"/>
        <w:jc w:val="both"/>
        <w:divId w:val="1337343052"/>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无变更。</w:t>
      </w:r>
    </w:p>
    <w:p w:rsidR="00037019" w:rsidRDefault="00BE788E">
      <w:pPr>
        <w:pStyle w:val="3"/>
        <w:spacing w:line="280" w:lineRule="exact"/>
        <w:jc w:val="left"/>
        <w:rPr>
          <w:rFonts w:ascii="宋体" w:hAnsi="宋体" w:cs="宋体"/>
          <w:b/>
          <w:bCs/>
        </w:rPr>
      </w:pPr>
      <w:bookmarkStart w:id="17" w:name="_Toc989007"/>
      <w:r>
        <w:rPr>
          <w:rFonts w:ascii="宋体" w:hAnsi="宋体" w:cs="宋体"/>
          <w:b/>
          <w:bCs/>
        </w:rPr>
        <w:t>1、遵循企业会计准则的声明</w:t>
      </w:r>
      <w:bookmarkEnd w:id="17"/>
    </w:p>
    <w:p w:rsidR="00BE788E" w:rsidRPr="00AC0334" w:rsidRDefault="00BE788E" w:rsidP="00AC0334">
      <w:pPr>
        <w:pStyle w:val="a3"/>
        <w:spacing w:before="0" w:beforeAutospacing="0" w:after="0" w:afterAutospacing="0"/>
        <w:ind w:firstLine="420"/>
        <w:jc w:val="both"/>
        <w:divId w:val="1229002805"/>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本公司所编制的财务报表符合企业会计准则的要求，真实、完整地反映了报告期公司的财务状况、经营成果、现金流量等有关信息。</w:t>
      </w:r>
    </w:p>
    <w:p w:rsidR="00037019" w:rsidRDefault="00BE788E">
      <w:pPr>
        <w:pStyle w:val="3"/>
        <w:spacing w:line="280" w:lineRule="exact"/>
        <w:jc w:val="left"/>
        <w:rPr>
          <w:rFonts w:ascii="宋体" w:hAnsi="宋体" w:cs="宋体"/>
          <w:b/>
          <w:bCs/>
        </w:rPr>
      </w:pPr>
      <w:bookmarkStart w:id="18" w:name="_Toc989008"/>
      <w:r>
        <w:rPr>
          <w:rFonts w:ascii="宋体" w:hAnsi="宋体" w:cs="宋体"/>
          <w:b/>
          <w:bCs/>
        </w:rPr>
        <w:t>2、会计期间</w:t>
      </w:r>
      <w:bookmarkEnd w:id="18"/>
    </w:p>
    <w:p w:rsidR="00BE788E" w:rsidRPr="00AC0334" w:rsidRDefault="00BE788E" w:rsidP="00AC0334">
      <w:pPr>
        <w:pStyle w:val="a3"/>
        <w:spacing w:before="0" w:beforeAutospacing="0" w:after="0" w:afterAutospacing="0"/>
        <w:ind w:firstLine="420"/>
        <w:jc w:val="both"/>
        <w:divId w:val="1121651334"/>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自公历</w:t>
      </w:r>
      <w:r w:rsidRPr="00AC0334">
        <w:rPr>
          <w:rFonts w:asciiTheme="minorEastAsia" w:eastAsiaTheme="minorEastAsia" w:hAnsiTheme="minorEastAsia"/>
          <w:sz w:val="18"/>
          <w:szCs w:val="18"/>
        </w:rPr>
        <w:t>1</w:t>
      </w:r>
      <w:r w:rsidRPr="00AC0334">
        <w:rPr>
          <w:rFonts w:asciiTheme="minorEastAsia" w:eastAsiaTheme="minorEastAsia" w:hAnsiTheme="minorEastAsia" w:hint="eastAsia"/>
          <w:sz w:val="18"/>
          <w:szCs w:val="18"/>
        </w:rPr>
        <w:t>月</w:t>
      </w:r>
      <w:r w:rsidRPr="00AC0334">
        <w:rPr>
          <w:rFonts w:asciiTheme="minorEastAsia" w:eastAsiaTheme="minorEastAsia" w:hAnsiTheme="minorEastAsia"/>
          <w:sz w:val="18"/>
          <w:szCs w:val="18"/>
        </w:rPr>
        <w:t>1</w:t>
      </w:r>
      <w:r w:rsidRPr="00AC0334">
        <w:rPr>
          <w:rFonts w:asciiTheme="minorEastAsia" w:eastAsiaTheme="minorEastAsia" w:hAnsiTheme="minorEastAsia" w:hint="eastAsia"/>
          <w:sz w:val="18"/>
          <w:szCs w:val="18"/>
        </w:rPr>
        <w:t>日至</w:t>
      </w:r>
      <w:r w:rsidRPr="00AC0334">
        <w:rPr>
          <w:rFonts w:asciiTheme="minorEastAsia" w:eastAsiaTheme="minorEastAsia" w:hAnsiTheme="minorEastAsia"/>
          <w:sz w:val="18"/>
          <w:szCs w:val="18"/>
        </w:rPr>
        <w:t>12</w:t>
      </w:r>
      <w:r w:rsidRPr="00AC0334">
        <w:rPr>
          <w:rFonts w:asciiTheme="minorEastAsia" w:eastAsiaTheme="minorEastAsia" w:hAnsiTheme="minorEastAsia" w:hint="eastAsia"/>
          <w:sz w:val="18"/>
          <w:szCs w:val="18"/>
        </w:rPr>
        <w:t>月</w:t>
      </w:r>
      <w:r w:rsidRPr="00AC0334">
        <w:rPr>
          <w:rFonts w:asciiTheme="minorEastAsia" w:eastAsiaTheme="minorEastAsia" w:hAnsiTheme="minorEastAsia"/>
          <w:sz w:val="18"/>
          <w:szCs w:val="18"/>
        </w:rPr>
        <w:t>31</w:t>
      </w:r>
      <w:r w:rsidRPr="00AC0334">
        <w:rPr>
          <w:rFonts w:asciiTheme="minorEastAsia" w:eastAsiaTheme="minorEastAsia" w:hAnsiTheme="minorEastAsia" w:hint="eastAsia"/>
          <w:sz w:val="18"/>
          <w:szCs w:val="18"/>
        </w:rPr>
        <w:t>日止为一个会计年度。</w:t>
      </w:r>
    </w:p>
    <w:p w:rsidR="00037019" w:rsidRDefault="00BE788E">
      <w:pPr>
        <w:pStyle w:val="3"/>
        <w:spacing w:line="280" w:lineRule="exact"/>
        <w:jc w:val="left"/>
        <w:rPr>
          <w:rFonts w:ascii="宋体" w:hAnsi="宋体" w:cs="宋体"/>
          <w:b/>
          <w:bCs/>
        </w:rPr>
      </w:pPr>
      <w:bookmarkStart w:id="19" w:name="_Toc989009"/>
      <w:r>
        <w:rPr>
          <w:rFonts w:ascii="宋体" w:hAnsi="宋体" w:cs="宋体"/>
          <w:b/>
          <w:bCs/>
        </w:rPr>
        <w:t>3、营业周期</w:t>
      </w:r>
      <w:bookmarkEnd w:id="19"/>
    </w:p>
    <w:p w:rsidR="00BE788E" w:rsidRPr="00AC0334" w:rsidRDefault="00BE788E" w:rsidP="00AC0334">
      <w:pPr>
        <w:pStyle w:val="a3"/>
        <w:spacing w:before="0" w:beforeAutospacing="0" w:after="0" w:afterAutospacing="0"/>
        <w:ind w:firstLine="420"/>
        <w:jc w:val="both"/>
        <w:divId w:val="1188637857"/>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营业周期是指企业从购买用于加工的资产起</w:t>
      </w:r>
      <w:proofErr w:type="gramStart"/>
      <w:r w:rsidRPr="00AC0334">
        <w:rPr>
          <w:rFonts w:asciiTheme="minorEastAsia" w:eastAsiaTheme="minorEastAsia" w:hAnsiTheme="minorEastAsia" w:hint="eastAsia"/>
          <w:sz w:val="18"/>
          <w:szCs w:val="18"/>
        </w:rPr>
        <w:t>至实现</w:t>
      </w:r>
      <w:proofErr w:type="gramEnd"/>
      <w:r w:rsidRPr="00AC0334">
        <w:rPr>
          <w:rFonts w:asciiTheme="minorEastAsia" w:eastAsiaTheme="minorEastAsia" w:hAnsiTheme="minorEastAsia" w:hint="eastAsia"/>
          <w:sz w:val="18"/>
          <w:szCs w:val="18"/>
        </w:rPr>
        <w:t>现金或现金等价物的期间。本公司以</w:t>
      </w:r>
      <w:r w:rsidRPr="00AC0334">
        <w:rPr>
          <w:rFonts w:asciiTheme="minorEastAsia" w:eastAsiaTheme="minorEastAsia" w:hAnsiTheme="minorEastAsia"/>
          <w:sz w:val="18"/>
          <w:szCs w:val="18"/>
        </w:rPr>
        <w:t>12</w:t>
      </w:r>
      <w:r w:rsidRPr="00AC0334">
        <w:rPr>
          <w:rFonts w:asciiTheme="minorEastAsia" w:eastAsiaTheme="minorEastAsia" w:hAnsiTheme="minorEastAsia" w:hint="eastAsia"/>
          <w:sz w:val="18"/>
          <w:szCs w:val="18"/>
        </w:rPr>
        <w:t>个月作为一个营业周期，并以其作为资产和负债的流动性划分标准。</w:t>
      </w:r>
    </w:p>
    <w:p w:rsidR="00037019" w:rsidRDefault="00BE788E">
      <w:pPr>
        <w:pStyle w:val="3"/>
        <w:spacing w:line="280" w:lineRule="exact"/>
        <w:jc w:val="left"/>
        <w:rPr>
          <w:rFonts w:ascii="宋体" w:hAnsi="宋体" w:cs="宋体"/>
          <w:b/>
          <w:bCs/>
        </w:rPr>
      </w:pPr>
      <w:bookmarkStart w:id="20" w:name="_Toc989010"/>
      <w:r>
        <w:rPr>
          <w:rFonts w:ascii="宋体" w:hAnsi="宋体" w:cs="宋体"/>
          <w:b/>
          <w:bCs/>
        </w:rPr>
        <w:lastRenderedPageBreak/>
        <w:t>4、记账本位币</w:t>
      </w:r>
      <w:bookmarkEnd w:id="20"/>
    </w:p>
    <w:p w:rsidR="00BE788E" w:rsidRPr="00AC0334" w:rsidRDefault="00BE788E" w:rsidP="00AC0334">
      <w:pPr>
        <w:pStyle w:val="a3"/>
        <w:spacing w:before="0" w:beforeAutospacing="0" w:after="0" w:afterAutospacing="0"/>
        <w:ind w:firstLine="420"/>
        <w:jc w:val="both"/>
        <w:divId w:val="917322913"/>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采用人民币为记账本位币。境外子公司以其经营所处的主要经济环境中的货币为记账本位币，编制财务报表时折算为人民币。</w:t>
      </w:r>
    </w:p>
    <w:p w:rsidR="00037019" w:rsidRDefault="00BE788E">
      <w:pPr>
        <w:pStyle w:val="3"/>
        <w:spacing w:line="280" w:lineRule="exact"/>
        <w:jc w:val="left"/>
        <w:rPr>
          <w:rFonts w:ascii="宋体" w:hAnsi="宋体" w:cs="宋体"/>
          <w:b/>
          <w:bCs/>
        </w:rPr>
      </w:pPr>
      <w:bookmarkStart w:id="21" w:name="_Toc989011"/>
      <w:r>
        <w:rPr>
          <w:rFonts w:ascii="宋体" w:hAnsi="宋体" w:cs="宋体"/>
          <w:b/>
          <w:bCs/>
        </w:rPr>
        <w:t>5、重要性标准确定方法和选择依据</w:t>
      </w:r>
      <w:bookmarkEnd w:id="2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重要性标准</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重要的单项计提坏账准备的应收款项</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金额≥100万</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本期重要的应收款项核销</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金额≥100万</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本期坏账准备收回或转回金额重要的应收账款</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金额≥100万</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重要的在建工程</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期末或</w:t>
            </w:r>
            <w:proofErr w:type="gramEnd"/>
            <w:r>
              <w:rPr>
                <w:rFonts w:ascii="宋体" w:eastAsia="宋体" w:hAnsi="宋体" w:cs="宋体"/>
                <w:sz w:val="18"/>
                <w:szCs w:val="18"/>
              </w:rPr>
              <w:t>期初余额≥1000万</w:t>
            </w:r>
          </w:p>
        </w:tc>
      </w:tr>
    </w:tbl>
    <w:p w:rsidR="00037019" w:rsidRDefault="00BE788E">
      <w:pPr>
        <w:pStyle w:val="3"/>
        <w:spacing w:line="280" w:lineRule="exact"/>
        <w:jc w:val="left"/>
        <w:rPr>
          <w:rFonts w:ascii="宋体" w:hAnsi="宋体" w:cs="宋体"/>
          <w:b/>
          <w:bCs/>
        </w:rPr>
      </w:pPr>
      <w:bookmarkStart w:id="22" w:name="_Toc989012"/>
      <w:r>
        <w:rPr>
          <w:rFonts w:ascii="宋体" w:hAnsi="宋体" w:cs="宋体"/>
          <w:b/>
          <w:bCs/>
        </w:rPr>
        <w:t>6、同</w:t>
      </w:r>
      <w:proofErr w:type="gramStart"/>
      <w:r>
        <w:rPr>
          <w:rFonts w:ascii="宋体" w:hAnsi="宋体" w:cs="宋体"/>
          <w:b/>
          <w:bCs/>
        </w:rPr>
        <w:t>一控制</w:t>
      </w:r>
      <w:proofErr w:type="gramEnd"/>
      <w:r>
        <w:rPr>
          <w:rFonts w:ascii="宋体" w:hAnsi="宋体" w:cs="宋体"/>
          <w:b/>
          <w:bCs/>
        </w:rPr>
        <w:t>下和非同</w:t>
      </w:r>
      <w:proofErr w:type="gramStart"/>
      <w:r>
        <w:rPr>
          <w:rFonts w:ascii="宋体" w:hAnsi="宋体" w:cs="宋体"/>
          <w:b/>
          <w:bCs/>
        </w:rPr>
        <w:t>一控制</w:t>
      </w:r>
      <w:proofErr w:type="gramEnd"/>
      <w:r>
        <w:rPr>
          <w:rFonts w:ascii="宋体" w:hAnsi="宋体" w:cs="宋体"/>
          <w:b/>
          <w:bCs/>
        </w:rPr>
        <w:t>下企业合并的会计处理方法</w:t>
      </w:r>
      <w:bookmarkEnd w:id="22"/>
    </w:p>
    <w:p w:rsidR="00BE788E" w:rsidRPr="00AC0334" w:rsidRDefault="00BE788E" w:rsidP="00AC0334">
      <w:pPr>
        <w:widowControl/>
        <w:numPr>
          <w:ilvl w:val="0"/>
          <w:numId w:val="1"/>
        </w:numPr>
        <w:spacing w:before="100" w:beforeAutospacing="1" w:after="100" w:afterAutospacing="1"/>
        <w:divId w:val="2145925896"/>
        <w:rPr>
          <w:rFonts w:asciiTheme="minorEastAsia" w:hAnsiTheme="minorEastAsia"/>
          <w:sz w:val="18"/>
          <w:szCs w:val="18"/>
        </w:rPr>
      </w:pPr>
      <w:r w:rsidRPr="00AC0334">
        <w:rPr>
          <w:rFonts w:asciiTheme="minorEastAsia" w:hAnsiTheme="minorEastAsia" w:hint="eastAsia"/>
          <w:sz w:val="18"/>
          <w:szCs w:val="18"/>
        </w:rPr>
        <w:t>分步实现企业合并过程中的各项交易的条款、条件以及经济影响符合以下一种或多种情况，将多次交易事项作为一揽子交易进行会计处理</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1</w:t>
      </w: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 </w:t>
      </w:r>
      <w:r w:rsidRPr="00AC0334">
        <w:rPr>
          <w:rFonts w:asciiTheme="minorEastAsia" w:eastAsiaTheme="minorEastAsia" w:hAnsiTheme="minorEastAsia" w:hint="eastAsia"/>
          <w:sz w:val="18"/>
          <w:szCs w:val="18"/>
        </w:rPr>
        <w:t>这些交易是同时或者在考虑了彼此影响的情况下订立的；</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2</w:t>
      </w: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 </w:t>
      </w:r>
      <w:r w:rsidRPr="00AC0334">
        <w:rPr>
          <w:rFonts w:asciiTheme="minorEastAsia" w:eastAsiaTheme="minorEastAsia" w:hAnsiTheme="minorEastAsia" w:hint="eastAsia"/>
          <w:sz w:val="18"/>
          <w:szCs w:val="18"/>
        </w:rPr>
        <w:t>这些交易整体才能达成一项完整的商业结果；</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3</w:t>
      </w: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 </w:t>
      </w:r>
      <w:r w:rsidRPr="00AC0334">
        <w:rPr>
          <w:rFonts w:asciiTheme="minorEastAsia" w:eastAsiaTheme="minorEastAsia" w:hAnsiTheme="minorEastAsia" w:hint="eastAsia"/>
          <w:sz w:val="18"/>
          <w:szCs w:val="18"/>
        </w:rPr>
        <w:t>一项交易的发生取决于其他至少一项交易的发生；</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4</w:t>
      </w: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 </w:t>
      </w:r>
      <w:r w:rsidRPr="00AC0334">
        <w:rPr>
          <w:rFonts w:asciiTheme="minorEastAsia" w:eastAsiaTheme="minorEastAsia" w:hAnsiTheme="minorEastAsia" w:hint="eastAsia"/>
          <w:sz w:val="18"/>
          <w:szCs w:val="18"/>
        </w:rPr>
        <w:t>一项交易单独看是不经济的，但是和其他交易一并考虑时是经济的。</w:t>
      </w:r>
    </w:p>
    <w:p w:rsidR="00BE788E" w:rsidRPr="00AC0334" w:rsidRDefault="00BE788E">
      <w:pPr>
        <w:widowControl/>
        <w:numPr>
          <w:ilvl w:val="0"/>
          <w:numId w:val="2"/>
        </w:numPr>
        <w:spacing w:before="100" w:beforeAutospacing="1" w:after="100" w:afterAutospacing="1"/>
        <w:divId w:val="2145925896"/>
        <w:rPr>
          <w:rFonts w:asciiTheme="minorEastAsia" w:hAnsiTheme="minorEastAsia"/>
          <w:sz w:val="18"/>
          <w:szCs w:val="18"/>
        </w:rPr>
      </w:pPr>
      <w:r w:rsidRPr="00AC0334">
        <w:rPr>
          <w:rFonts w:asciiTheme="minorEastAsia" w:hAnsiTheme="minorEastAsia" w:hint="eastAsia"/>
          <w:sz w:val="18"/>
          <w:szCs w:val="18"/>
        </w:rPr>
        <w:t>同</w:t>
      </w:r>
      <w:proofErr w:type="gramStart"/>
      <w:r w:rsidRPr="00AC0334">
        <w:rPr>
          <w:rFonts w:asciiTheme="minorEastAsia" w:hAnsiTheme="minorEastAsia" w:hint="eastAsia"/>
          <w:sz w:val="18"/>
          <w:szCs w:val="18"/>
        </w:rPr>
        <w:t>一控制</w:t>
      </w:r>
      <w:proofErr w:type="gramEnd"/>
      <w:r w:rsidRPr="00AC0334">
        <w:rPr>
          <w:rFonts w:asciiTheme="minorEastAsia" w:hAnsiTheme="minorEastAsia" w:hint="eastAsia"/>
          <w:sz w:val="18"/>
          <w:szCs w:val="18"/>
        </w:rPr>
        <w:t>下的企业合并</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本公司在企业合并中取得的资产和负债，按照</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在被合并方资产、负债（包括最终控制</w:t>
      </w:r>
      <w:proofErr w:type="gramStart"/>
      <w:r w:rsidRPr="00AC0334">
        <w:rPr>
          <w:rFonts w:asciiTheme="minorEastAsia" w:eastAsiaTheme="minorEastAsia" w:hAnsiTheme="minorEastAsia" w:hint="eastAsia"/>
          <w:sz w:val="18"/>
          <w:szCs w:val="18"/>
        </w:rPr>
        <w:t>方收购</w:t>
      </w:r>
      <w:proofErr w:type="gramEnd"/>
      <w:r w:rsidRPr="00AC0334">
        <w:rPr>
          <w:rFonts w:asciiTheme="minorEastAsia" w:eastAsiaTheme="minorEastAsia" w:hAnsiTheme="minorEastAsia" w:hint="eastAsia"/>
          <w:sz w:val="18"/>
          <w:szCs w:val="18"/>
        </w:rPr>
        <w:t>被合并方而形成的商誉）在最终控制方合并财务报表中的账面价值计量。在合并中取得的净资产账面价值与支付的合并对价账面价值（或发行股份面值总额）的差额，调整资本公积中的股本溢价，资本公积中的股本溢价不足冲减的，调整留存收益。</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如果存在或有对价并需要确认预计负债或资产，该预计负债或资产金额与后续或有对价结算金额的差额，调整资本公积（资本溢价或股本溢价），资本公</w:t>
      </w:r>
      <w:proofErr w:type="gramStart"/>
      <w:r w:rsidRPr="00AC0334">
        <w:rPr>
          <w:rFonts w:asciiTheme="minorEastAsia" w:eastAsiaTheme="minorEastAsia" w:hAnsiTheme="minorEastAsia" w:hint="eastAsia"/>
          <w:sz w:val="18"/>
          <w:szCs w:val="18"/>
        </w:rPr>
        <w:t>积不足</w:t>
      </w:r>
      <w:proofErr w:type="gramEnd"/>
      <w:r w:rsidRPr="00AC0334">
        <w:rPr>
          <w:rFonts w:asciiTheme="minorEastAsia" w:eastAsiaTheme="minorEastAsia" w:hAnsiTheme="minorEastAsia" w:hint="eastAsia"/>
          <w:sz w:val="18"/>
          <w:szCs w:val="18"/>
        </w:rPr>
        <w:t>的，调整留存收益。</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对于通过多次交易最终实现企业合并的，属于一揽子交易的，将各项交易作为一项取得控制权的交易进行会计处理；不属于一揽子交易的，在取得控制权日，长期股权投资初始投资成本，与达到合并前的长期股权投资账面价值加上</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进一步取得股份新支付对价的账面价值之和的差额，调整资本公积；资本公</w:t>
      </w:r>
      <w:proofErr w:type="gramStart"/>
      <w:r w:rsidRPr="00AC0334">
        <w:rPr>
          <w:rFonts w:asciiTheme="minorEastAsia" w:eastAsiaTheme="minorEastAsia" w:hAnsiTheme="minorEastAsia" w:hint="eastAsia"/>
          <w:sz w:val="18"/>
          <w:szCs w:val="18"/>
        </w:rPr>
        <w:t>积不足</w:t>
      </w:r>
      <w:proofErr w:type="gramEnd"/>
      <w:r w:rsidRPr="00AC0334">
        <w:rPr>
          <w:rFonts w:asciiTheme="minorEastAsia" w:eastAsiaTheme="minorEastAsia" w:hAnsiTheme="minorEastAsia" w:hint="eastAsia"/>
          <w:sz w:val="18"/>
          <w:szCs w:val="18"/>
        </w:rPr>
        <w:t>冲减的，调整留存收益。对于</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之前持有的股权投资，因采用权益法核算或金融工具确认和计量准则核算而确认的其他综合收益，暂不进行会计处理，直至处置该项投资时采用与被投资单位直接处置相关资产或负债相同的基础进行会计处理；因采用权益法核算而确认的被投资单位净资产中除净损益、其他综合收益和利润分配以外的所有者权益其他变动，暂不进行会计处理，直至处置该项投资时转入当期损益。</w:t>
      </w:r>
    </w:p>
    <w:p w:rsidR="00BE788E" w:rsidRPr="00AC0334" w:rsidRDefault="00BE788E" w:rsidP="00AC0334">
      <w:pPr>
        <w:widowControl/>
        <w:numPr>
          <w:ilvl w:val="0"/>
          <w:numId w:val="3"/>
        </w:numPr>
        <w:spacing w:before="100" w:beforeAutospacing="1" w:after="100" w:afterAutospacing="1"/>
        <w:divId w:val="2145925896"/>
        <w:rPr>
          <w:rFonts w:asciiTheme="minorEastAsia" w:hAnsiTheme="minorEastAsia"/>
          <w:sz w:val="18"/>
          <w:szCs w:val="18"/>
        </w:rPr>
      </w:pPr>
      <w:r w:rsidRPr="00AC0334">
        <w:rPr>
          <w:rFonts w:asciiTheme="minorEastAsia" w:hAnsiTheme="minorEastAsia" w:hint="eastAsia"/>
          <w:sz w:val="18"/>
          <w:szCs w:val="18"/>
        </w:rPr>
        <w:t>非同</w:t>
      </w:r>
      <w:proofErr w:type="gramStart"/>
      <w:r w:rsidRPr="00AC0334">
        <w:rPr>
          <w:rFonts w:asciiTheme="minorEastAsia" w:hAnsiTheme="minorEastAsia" w:hint="eastAsia"/>
          <w:sz w:val="18"/>
          <w:szCs w:val="18"/>
        </w:rPr>
        <w:t>一控制</w:t>
      </w:r>
      <w:proofErr w:type="gramEnd"/>
      <w:r w:rsidRPr="00AC0334">
        <w:rPr>
          <w:rFonts w:asciiTheme="minorEastAsia" w:hAnsiTheme="minorEastAsia" w:hint="eastAsia"/>
          <w:sz w:val="18"/>
          <w:szCs w:val="18"/>
        </w:rPr>
        <w:t>下的企业合并</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购买日是指本公司实际取得对被购买方控制权的日期，即被购买方的净资产或生产经营决策的控制权转移给本公司的日期。同时满足下列条件时，本公司一般认为实现了控制权的转移：</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（1）企业合并合同或协议已获本公司内部权力机构通过。</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（2）企业合并事项需要经过国家有关主管部门审批的，已获得批准。</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lastRenderedPageBreak/>
        <w:t>（3）已办理了必要的财产权转移手续。</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（4）本公司已支付了合并价款的大部分，并且有能力、有计划支付剩余款项。</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（5）本公司实际上已经控制了被购买方的财务和经营政策，并享有相应的利益、承担相应的风险。</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本公司在购买日对作为企业合并对价付出的资产、发生或承担的负债按照公允价值计量，公允价值与其账面价值的差额，计入当期损益。</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本公司对合并成本大于合并中取得的被购买方可辨认净资产公允价值份额的差额，确认为商誉；合并成本小于合并中取得的被购买方可辨认净资产公允价值份额的，首先对取得的被购买</w:t>
      </w:r>
      <w:proofErr w:type="gramStart"/>
      <w:r w:rsidRPr="00AC0334">
        <w:rPr>
          <w:rFonts w:asciiTheme="minorEastAsia" w:eastAsiaTheme="minorEastAsia" w:hAnsiTheme="minorEastAsia" w:hint="eastAsia"/>
          <w:sz w:val="18"/>
          <w:szCs w:val="18"/>
        </w:rPr>
        <w:t>方各项</w:t>
      </w:r>
      <w:proofErr w:type="gramEnd"/>
      <w:r w:rsidRPr="00AC0334">
        <w:rPr>
          <w:rFonts w:asciiTheme="minorEastAsia" w:eastAsiaTheme="minorEastAsia" w:hAnsiTheme="minorEastAsia" w:hint="eastAsia"/>
          <w:sz w:val="18"/>
          <w:szCs w:val="18"/>
        </w:rPr>
        <w:t>可辨认资产、负债及或有负债的公允价值以及合并成本的计量进行复核，复核后合并成本仍小于合并中取得的被购买方可辨认净资产公允价值份额的，计入当期损益。</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通过多次交换交易分步实现的非同</w:t>
      </w:r>
      <w:proofErr w:type="gramStart"/>
      <w:r w:rsidRPr="00AC0334">
        <w:rPr>
          <w:rFonts w:asciiTheme="minorEastAsia" w:eastAsiaTheme="minorEastAsia" w:hAnsiTheme="minorEastAsia" w:hint="eastAsia"/>
          <w:sz w:val="18"/>
          <w:szCs w:val="18"/>
        </w:rPr>
        <w:t>一控制</w:t>
      </w:r>
      <w:proofErr w:type="gramEnd"/>
      <w:r w:rsidRPr="00AC0334">
        <w:rPr>
          <w:rFonts w:asciiTheme="minorEastAsia" w:eastAsiaTheme="minorEastAsia" w:hAnsiTheme="minorEastAsia" w:hint="eastAsia"/>
          <w:sz w:val="18"/>
          <w:szCs w:val="18"/>
        </w:rPr>
        <w:t>下企业合并，属于一揽子交易的，将各项交易作为一项取得控制权的交易进行会计处理；不属于一揽子交易的，</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之前持有的股权投资采用权益法核算的，以购买日之前所持被购买方的股权投资的账面价值与购买日新增投资成本之和，作为该项投资的初始投资成本；购买日之前持有的股权投资因采用权益法核算而确认的其他综合收益，在处置该项投资时采用与被投资单位直接处置相关资产或负债相同的基础进行会计处理。</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之前持有的股权投资采用金融工具确认和计量准则核算的，以该股权投资在</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的公允价值加上新增投资成本之和，作为</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的初始投资成本。原持有股权的公允价值与账面价值之间的差额以及原计入其他综合收益的累计公允价值变动应全部转入</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当期的投资收益。</w:t>
      </w:r>
    </w:p>
    <w:p w:rsidR="00BE788E" w:rsidRPr="00AC0334" w:rsidRDefault="00BE788E" w:rsidP="00AC0334">
      <w:pPr>
        <w:widowControl/>
        <w:numPr>
          <w:ilvl w:val="0"/>
          <w:numId w:val="4"/>
        </w:numPr>
        <w:spacing w:before="100" w:beforeAutospacing="1" w:after="100" w:afterAutospacing="1"/>
        <w:ind w:left="714" w:hanging="357"/>
        <w:divId w:val="2145925896"/>
        <w:rPr>
          <w:rFonts w:asciiTheme="minorEastAsia" w:hAnsiTheme="minorEastAsia"/>
          <w:sz w:val="18"/>
          <w:szCs w:val="18"/>
        </w:rPr>
      </w:pPr>
      <w:r w:rsidRPr="00AC0334">
        <w:rPr>
          <w:rFonts w:asciiTheme="minorEastAsia" w:hAnsiTheme="minorEastAsia" w:hint="eastAsia"/>
          <w:sz w:val="18"/>
          <w:szCs w:val="18"/>
        </w:rPr>
        <w:t>为合并发生的相关费用</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为企业合并发生的审计、法律服务、评估咨询等中介费用以及其他直接相关费用，于发生时计入当期损益；为企业合并而发行权益</w:t>
      </w:r>
      <w:proofErr w:type="gramStart"/>
      <w:r w:rsidRPr="00AC0334">
        <w:rPr>
          <w:rFonts w:asciiTheme="minorEastAsia" w:eastAsiaTheme="minorEastAsia" w:hAnsiTheme="minorEastAsia" w:hint="eastAsia"/>
          <w:sz w:val="18"/>
          <w:szCs w:val="18"/>
        </w:rPr>
        <w:t>性证券</w:t>
      </w:r>
      <w:proofErr w:type="gramEnd"/>
      <w:r w:rsidRPr="00AC0334">
        <w:rPr>
          <w:rFonts w:asciiTheme="minorEastAsia" w:eastAsiaTheme="minorEastAsia" w:hAnsiTheme="minorEastAsia" w:hint="eastAsia"/>
          <w:sz w:val="18"/>
          <w:szCs w:val="18"/>
        </w:rPr>
        <w:t>的交易费用，可直接归属于权益性交易的从权益中扣减。</w:t>
      </w:r>
    </w:p>
    <w:p w:rsidR="00037019" w:rsidRDefault="00BE788E">
      <w:pPr>
        <w:pStyle w:val="3"/>
        <w:spacing w:line="280" w:lineRule="exact"/>
        <w:jc w:val="left"/>
        <w:rPr>
          <w:rFonts w:ascii="宋体" w:hAnsi="宋体" w:cs="宋体"/>
          <w:b/>
          <w:bCs/>
        </w:rPr>
      </w:pPr>
      <w:bookmarkStart w:id="23" w:name="_Toc989013"/>
      <w:r>
        <w:rPr>
          <w:rFonts w:ascii="宋体" w:hAnsi="宋体" w:cs="宋体"/>
          <w:b/>
          <w:bCs/>
        </w:rPr>
        <w:t>7、控制的判断标准和合并财务报表的编制方法</w:t>
      </w:r>
      <w:bookmarkEnd w:id="23"/>
    </w:p>
    <w:p w:rsidR="00BE788E" w:rsidRPr="00AC0334" w:rsidRDefault="00BE788E" w:rsidP="00AC0334">
      <w:pPr>
        <w:widowControl/>
        <w:numPr>
          <w:ilvl w:val="0"/>
          <w:numId w:val="5"/>
        </w:numPr>
        <w:spacing w:before="100" w:beforeAutospacing="1" w:after="100" w:afterAutospacing="1"/>
        <w:divId w:val="1891188415"/>
        <w:rPr>
          <w:rFonts w:asciiTheme="minorEastAsia" w:hAnsiTheme="minorEastAsia"/>
          <w:sz w:val="18"/>
          <w:szCs w:val="18"/>
        </w:rPr>
      </w:pPr>
      <w:r w:rsidRPr="00AC0334">
        <w:rPr>
          <w:rStyle w:val="a5"/>
          <w:rFonts w:asciiTheme="minorEastAsia" w:hAnsiTheme="minorEastAsia" w:hint="eastAsia"/>
          <w:b w:val="0"/>
          <w:sz w:val="18"/>
          <w:szCs w:val="18"/>
        </w:rPr>
        <w:t>控制的判断标准</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控制，是指投资方拥有对被投资方的权力</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通过参与被投资方的相关活动而享有可变回报，并且有能力运用对被投资方的权力影响其回报金额。</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本公司在综合考虑所有相关事实和情况的基础上对是否控制被投资方进行判断。一旦相关事实和情况的变化导致对控制定义所涉及的相关要素发生变化的，本公司会进行重新评估。相关事实和情况主要包括：</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sz w:val="18"/>
          <w:szCs w:val="18"/>
        </w:rPr>
        <w:t>1</w:t>
      </w:r>
      <w:r w:rsidRPr="00AC0334">
        <w:rPr>
          <w:rFonts w:asciiTheme="minorEastAsia" w:eastAsiaTheme="minorEastAsia" w:hAnsiTheme="minorEastAsia" w:hint="eastAsia"/>
          <w:sz w:val="18"/>
          <w:szCs w:val="18"/>
        </w:rPr>
        <w:t>）被投资方的设立目的。</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sz w:val="18"/>
          <w:szCs w:val="18"/>
        </w:rPr>
        <w:t>2</w:t>
      </w:r>
      <w:r w:rsidRPr="00AC0334">
        <w:rPr>
          <w:rFonts w:asciiTheme="minorEastAsia" w:eastAsiaTheme="minorEastAsia" w:hAnsiTheme="minorEastAsia" w:hint="eastAsia"/>
          <w:sz w:val="18"/>
          <w:szCs w:val="18"/>
        </w:rPr>
        <w:t>）被投资方的相关活动以及如何对相关活动</w:t>
      </w:r>
      <w:proofErr w:type="gramStart"/>
      <w:r w:rsidRPr="00AC0334">
        <w:rPr>
          <w:rFonts w:asciiTheme="minorEastAsia" w:eastAsiaTheme="minorEastAsia" w:hAnsiTheme="minorEastAsia" w:hint="eastAsia"/>
          <w:sz w:val="18"/>
          <w:szCs w:val="18"/>
        </w:rPr>
        <w:t>作出</w:t>
      </w:r>
      <w:proofErr w:type="gramEnd"/>
      <w:r w:rsidRPr="00AC0334">
        <w:rPr>
          <w:rFonts w:asciiTheme="minorEastAsia" w:eastAsiaTheme="minorEastAsia" w:hAnsiTheme="minorEastAsia" w:hint="eastAsia"/>
          <w:sz w:val="18"/>
          <w:szCs w:val="18"/>
        </w:rPr>
        <w:t>决策。</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sz w:val="18"/>
          <w:szCs w:val="18"/>
        </w:rPr>
        <w:t>3</w:t>
      </w:r>
      <w:r w:rsidRPr="00AC0334">
        <w:rPr>
          <w:rFonts w:asciiTheme="minorEastAsia" w:eastAsiaTheme="minorEastAsia" w:hAnsiTheme="minorEastAsia" w:hint="eastAsia"/>
          <w:sz w:val="18"/>
          <w:szCs w:val="18"/>
        </w:rPr>
        <w:t>）投资方享有的权利是否使其目前有能力主导被投资方的相关活动。</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sz w:val="18"/>
          <w:szCs w:val="18"/>
        </w:rPr>
        <w:t>4</w:t>
      </w:r>
      <w:r w:rsidRPr="00AC0334">
        <w:rPr>
          <w:rFonts w:asciiTheme="minorEastAsia" w:eastAsiaTheme="minorEastAsia" w:hAnsiTheme="minorEastAsia" w:hint="eastAsia"/>
          <w:sz w:val="18"/>
          <w:szCs w:val="18"/>
        </w:rPr>
        <w:t>）投资方是否通过参与被投资方的相关活动而享有可变回报。</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sz w:val="18"/>
          <w:szCs w:val="18"/>
        </w:rPr>
        <w:t>5</w:t>
      </w:r>
      <w:r w:rsidRPr="00AC0334">
        <w:rPr>
          <w:rFonts w:asciiTheme="minorEastAsia" w:eastAsiaTheme="minorEastAsia" w:hAnsiTheme="minorEastAsia" w:hint="eastAsia"/>
          <w:sz w:val="18"/>
          <w:szCs w:val="18"/>
        </w:rPr>
        <w:t>）投资方是否有能力运用对被投资方的权力影响其回报金额。</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sz w:val="18"/>
          <w:szCs w:val="18"/>
        </w:rPr>
        <w:t>6</w:t>
      </w:r>
      <w:r w:rsidRPr="00AC0334">
        <w:rPr>
          <w:rFonts w:asciiTheme="minorEastAsia" w:eastAsiaTheme="minorEastAsia" w:hAnsiTheme="minorEastAsia" w:hint="eastAsia"/>
          <w:sz w:val="18"/>
          <w:szCs w:val="18"/>
        </w:rPr>
        <w:t>）投资方与其他方的关系。</w:t>
      </w:r>
    </w:p>
    <w:p w:rsidR="00BE788E" w:rsidRPr="00AC0334" w:rsidRDefault="00BE788E" w:rsidP="00AC0334">
      <w:pPr>
        <w:widowControl/>
        <w:numPr>
          <w:ilvl w:val="0"/>
          <w:numId w:val="6"/>
        </w:numPr>
        <w:spacing w:before="100" w:beforeAutospacing="1" w:after="100" w:afterAutospacing="1"/>
        <w:divId w:val="1891188415"/>
        <w:rPr>
          <w:rFonts w:asciiTheme="minorEastAsia" w:hAnsiTheme="minorEastAsia"/>
          <w:sz w:val="18"/>
          <w:szCs w:val="18"/>
        </w:rPr>
      </w:pPr>
      <w:r w:rsidRPr="00AC0334">
        <w:rPr>
          <w:rStyle w:val="a5"/>
          <w:rFonts w:asciiTheme="minorEastAsia" w:hAnsiTheme="minorEastAsia" w:hint="eastAsia"/>
          <w:b w:val="0"/>
          <w:sz w:val="18"/>
          <w:szCs w:val="18"/>
        </w:rPr>
        <w:t>合并范围</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本公司合并财务报表的合并范围以控制为基础确定，所有子公司（包括本公司所控制的单独主体）均纳入合并财务报表。</w:t>
      </w:r>
    </w:p>
    <w:p w:rsidR="00BE788E" w:rsidRPr="00AC0334" w:rsidRDefault="00BE788E" w:rsidP="00AC0334">
      <w:pPr>
        <w:widowControl/>
        <w:numPr>
          <w:ilvl w:val="0"/>
          <w:numId w:val="7"/>
        </w:numPr>
        <w:spacing w:before="100" w:beforeAutospacing="1" w:after="100" w:afterAutospacing="1"/>
        <w:divId w:val="1891188415"/>
        <w:rPr>
          <w:rFonts w:asciiTheme="minorEastAsia" w:hAnsiTheme="minorEastAsia"/>
          <w:sz w:val="18"/>
          <w:szCs w:val="18"/>
        </w:rPr>
      </w:pPr>
      <w:r w:rsidRPr="00AC0334">
        <w:rPr>
          <w:rStyle w:val="a5"/>
          <w:rFonts w:asciiTheme="minorEastAsia" w:hAnsiTheme="minorEastAsia" w:hint="eastAsia"/>
          <w:b w:val="0"/>
          <w:sz w:val="18"/>
          <w:szCs w:val="18"/>
        </w:rPr>
        <w:t>合并程序</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lastRenderedPageBreak/>
        <w:t>本公司以自身和各子公司的财务报表为基础，根据其他有关资料，编制合并财务报表。本公司编制合并财务报表，将整个企业集团视为一个会计主体，依据相关企业会计准则的确认、计量和列报要求，按照统一的会计政策，反映本企业集团整体财务状况、经营成果和现金流量。</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所有纳入合并财务报表合并范围的子公司所采用的会计政策、会计期间与本公司一致，如子公司采用的会计政策、会计期间与本公司不一致的，在编制合并财务报表时，按本公司的会计政策、会计期间进行必要的调整。</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合并财务报表时</w:t>
      </w:r>
      <w:proofErr w:type="gramStart"/>
      <w:r w:rsidRPr="00AC0334">
        <w:rPr>
          <w:rFonts w:asciiTheme="minorEastAsia" w:eastAsiaTheme="minorEastAsia" w:hAnsiTheme="minorEastAsia" w:hint="eastAsia"/>
          <w:sz w:val="18"/>
          <w:szCs w:val="18"/>
        </w:rPr>
        <w:t>抵销</w:t>
      </w:r>
      <w:proofErr w:type="gramEnd"/>
      <w:r w:rsidRPr="00AC0334">
        <w:rPr>
          <w:rFonts w:asciiTheme="minorEastAsia" w:eastAsiaTheme="minorEastAsia" w:hAnsiTheme="minorEastAsia" w:hint="eastAsia"/>
          <w:sz w:val="18"/>
          <w:szCs w:val="18"/>
        </w:rPr>
        <w:t>本公司与各子公司、各子公司相互之间发生的内部交易对合并资产负债表、合并利润表、合并现金流量表、合并股东权益变动表的影响。如果站在企业集团合并财务报表角度与以本公司或子公司为会计主体对同一交易的认定不同时，从企业集团的角度对该交易予以调整。</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子公司所有者权益、当期净损益和当期综合收益中属于少数股东的份额分别在合并资产负债表中所有者权益项目下、合并利润表中净利润项目下和综合收益总额项目下单独列示。子公司少数股东分担的当期亏损超过了少数股东在该子公司期初所有者权益中所享有份额而形成的余额，</w:t>
      </w:r>
      <w:proofErr w:type="gramStart"/>
      <w:r w:rsidRPr="00AC0334">
        <w:rPr>
          <w:rFonts w:asciiTheme="minorEastAsia" w:eastAsiaTheme="minorEastAsia" w:hAnsiTheme="minorEastAsia" w:hint="eastAsia"/>
          <w:sz w:val="18"/>
          <w:szCs w:val="18"/>
        </w:rPr>
        <w:t>冲减少</w:t>
      </w:r>
      <w:proofErr w:type="gramEnd"/>
      <w:r w:rsidRPr="00AC0334">
        <w:rPr>
          <w:rFonts w:asciiTheme="minorEastAsia" w:eastAsiaTheme="minorEastAsia" w:hAnsiTheme="minorEastAsia" w:hint="eastAsia"/>
          <w:sz w:val="18"/>
          <w:szCs w:val="18"/>
        </w:rPr>
        <w:t>数股东权益。</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对于同</w:t>
      </w:r>
      <w:proofErr w:type="gramStart"/>
      <w:r w:rsidRPr="00AC0334">
        <w:rPr>
          <w:rFonts w:asciiTheme="minorEastAsia" w:eastAsiaTheme="minorEastAsia" w:hAnsiTheme="minorEastAsia" w:hint="eastAsia"/>
          <w:sz w:val="18"/>
          <w:szCs w:val="18"/>
        </w:rPr>
        <w:t>一控制</w:t>
      </w:r>
      <w:proofErr w:type="gramEnd"/>
      <w:r w:rsidRPr="00AC0334">
        <w:rPr>
          <w:rFonts w:asciiTheme="minorEastAsia" w:eastAsiaTheme="minorEastAsia" w:hAnsiTheme="minorEastAsia" w:hint="eastAsia"/>
          <w:sz w:val="18"/>
          <w:szCs w:val="18"/>
        </w:rPr>
        <w:t>下企业合并取得的子公司，以其资产、负债（包括最终控制</w:t>
      </w:r>
      <w:proofErr w:type="gramStart"/>
      <w:r w:rsidRPr="00AC0334">
        <w:rPr>
          <w:rFonts w:asciiTheme="minorEastAsia" w:eastAsiaTheme="minorEastAsia" w:hAnsiTheme="minorEastAsia" w:hint="eastAsia"/>
          <w:sz w:val="18"/>
          <w:szCs w:val="18"/>
        </w:rPr>
        <w:t>方收购</w:t>
      </w:r>
      <w:proofErr w:type="gramEnd"/>
      <w:r w:rsidRPr="00AC0334">
        <w:rPr>
          <w:rFonts w:asciiTheme="minorEastAsia" w:eastAsiaTheme="minorEastAsia" w:hAnsiTheme="minorEastAsia" w:hint="eastAsia"/>
          <w:sz w:val="18"/>
          <w:szCs w:val="18"/>
        </w:rPr>
        <w:t>该子公司而形成的商誉）在最终控制方财务报表中的账面价值为基础对其财务报表进行调整。</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对于非同</w:t>
      </w:r>
      <w:proofErr w:type="gramStart"/>
      <w:r w:rsidRPr="00AC0334">
        <w:rPr>
          <w:rFonts w:asciiTheme="minorEastAsia" w:eastAsiaTheme="minorEastAsia" w:hAnsiTheme="minorEastAsia" w:hint="eastAsia"/>
          <w:sz w:val="18"/>
          <w:szCs w:val="18"/>
        </w:rPr>
        <w:t>一控制</w:t>
      </w:r>
      <w:proofErr w:type="gramEnd"/>
      <w:r w:rsidRPr="00AC0334">
        <w:rPr>
          <w:rFonts w:asciiTheme="minorEastAsia" w:eastAsiaTheme="minorEastAsia" w:hAnsiTheme="minorEastAsia" w:hint="eastAsia"/>
          <w:sz w:val="18"/>
          <w:szCs w:val="18"/>
        </w:rPr>
        <w:t>下企业合并取得的子公司，以购买日可辨认净资产公允价值为基础对其财务报表进行调整</w:t>
      </w:r>
    </w:p>
    <w:p w:rsidR="00BE788E" w:rsidRPr="00AC0334" w:rsidRDefault="00BE788E" w:rsidP="00AC0334">
      <w:pPr>
        <w:widowControl/>
        <w:numPr>
          <w:ilvl w:val="0"/>
          <w:numId w:val="8"/>
        </w:numPr>
        <w:divId w:val="1891188415"/>
        <w:rPr>
          <w:rFonts w:asciiTheme="minorEastAsia" w:hAnsiTheme="minorEastAsia" w:cs="Calibri"/>
          <w:szCs w:val="21"/>
        </w:rPr>
      </w:pPr>
      <w:r w:rsidRPr="00AC0334">
        <w:rPr>
          <w:rFonts w:asciiTheme="minorEastAsia" w:hAnsiTheme="minorEastAsia" w:cs="Calibri" w:hint="eastAsia"/>
          <w:sz w:val="18"/>
          <w:szCs w:val="18"/>
        </w:rPr>
        <w:t>增加子公司或业务</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在报告期内，若因同</w:t>
      </w:r>
      <w:proofErr w:type="gramStart"/>
      <w:r w:rsidRPr="00AC0334">
        <w:rPr>
          <w:rFonts w:asciiTheme="minorEastAsia" w:eastAsiaTheme="minorEastAsia" w:hAnsiTheme="minorEastAsia" w:hint="eastAsia"/>
          <w:sz w:val="18"/>
          <w:szCs w:val="18"/>
        </w:rPr>
        <w:t>一控制</w:t>
      </w:r>
      <w:proofErr w:type="gramEnd"/>
      <w:r w:rsidRPr="00AC0334">
        <w:rPr>
          <w:rFonts w:asciiTheme="minorEastAsia" w:eastAsiaTheme="minorEastAsia" w:hAnsiTheme="minorEastAsia" w:hint="eastAsia"/>
          <w:sz w:val="18"/>
          <w:szCs w:val="18"/>
        </w:rPr>
        <w:t>下企业合并增加子公司或业务的，则调整合并资产负债表的期初数；将子公司或业务合并当期期初</w:t>
      </w:r>
      <w:proofErr w:type="gramStart"/>
      <w:r w:rsidRPr="00AC0334">
        <w:rPr>
          <w:rFonts w:asciiTheme="minorEastAsia" w:eastAsiaTheme="minorEastAsia" w:hAnsiTheme="minorEastAsia" w:hint="eastAsia"/>
          <w:sz w:val="18"/>
          <w:szCs w:val="18"/>
        </w:rPr>
        <w:t>至报告</w:t>
      </w:r>
      <w:proofErr w:type="gramEnd"/>
      <w:r w:rsidRPr="00AC0334">
        <w:rPr>
          <w:rFonts w:asciiTheme="minorEastAsia" w:eastAsiaTheme="minorEastAsia" w:hAnsiTheme="minorEastAsia" w:hint="eastAsia"/>
          <w:sz w:val="18"/>
          <w:szCs w:val="18"/>
        </w:rPr>
        <w:t>期末的收入、费用、利润纳入合并利润表；将子公司或业务合并当期期初</w:t>
      </w:r>
      <w:proofErr w:type="gramStart"/>
      <w:r w:rsidRPr="00AC0334">
        <w:rPr>
          <w:rFonts w:asciiTheme="minorEastAsia" w:eastAsiaTheme="minorEastAsia" w:hAnsiTheme="minorEastAsia" w:hint="eastAsia"/>
          <w:sz w:val="18"/>
          <w:szCs w:val="18"/>
        </w:rPr>
        <w:t>至报告</w:t>
      </w:r>
      <w:proofErr w:type="gramEnd"/>
      <w:r w:rsidRPr="00AC0334">
        <w:rPr>
          <w:rFonts w:asciiTheme="minorEastAsia" w:eastAsiaTheme="minorEastAsia" w:hAnsiTheme="minorEastAsia" w:hint="eastAsia"/>
          <w:sz w:val="18"/>
          <w:szCs w:val="18"/>
        </w:rPr>
        <w:t>期末的现金流量纳入合并现金流量表，同时对比较报表的相关项目进行调整，视同合并后的报告主体</w:t>
      </w:r>
      <w:proofErr w:type="gramStart"/>
      <w:r w:rsidRPr="00AC0334">
        <w:rPr>
          <w:rFonts w:asciiTheme="minorEastAsia" w:eastAsiaTheme="minorEastAsia" w:hAnsiTheme="minorEastAsia" w:hint="eastAsia"/>
          <w:sz w:val="18"/>
          <w:szCs w:val="18"/>
        </w:rPr>
        <w:t>自最终</w:t>
      </w:r>
      <w:proofErr w:type="gramEnd"/>
      <w:r w:rsidRPr="00AC0334">
        <w:rPr>
          <w:rFonts w:asciiTheme="minorEastAsia" w:eastAsiaTheme="minorEastAsia" w:hAnsiTheme="minorEastAsia" w:hint="eastAsia"/>
          <w:sz w:val="18"/>
          <w:szCs w:val="18"/>
        </w:rPr>
        <w:t>控制方开始控制时点起一直存在。</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因追加投资等原因能够对同</w:t>
      </w:r>
      <w:proofErr w:type="gramStart"/>
      <w:r w:rsidRPr="00AC0334">
        <w:rPr>
          <w:rFonts w:asciiTheme="minorEastAsia" w:eastAsiaTheme="minorEastAsia" w:hAnsiTheme="minorEastAsia" w:hint="eastAsia"/>
          <w:sz w:val="18"/>
          <w:szCs w:val="18"/>
        </w:rPr>
        <w:t>一控制</w:t>
      </w:r>
      <w:proofErr w:type="gramEnd"/>
      <w:r w:rsidRPr="00AC0334">
        <w:rPr>
          <w:rFonts w:asciiTheme="minorEastAsia" w:eastAsiaTheme="minorEastAsia" w:hAnsiTheme="minorEastAsia" w:hint="eastAsia"/>
          <w:sz w:val="18"/>
          <w:szCs w:val="18"/>
        </w:rPr>
        <w:t>下的被投资方实施控制的，视同参与合并的各方在最终控制方开始控制时即以目前的状态存在进行调整。在取得被合并方控制权之前持有的股权投资，在取得原股权之日与合并方和被合并方同处于同</w:t>
      </w:r>
      <w:proofErr w:type="gramStart"/>
      <w:r w:rsidRPr="00AC0334">
        <w:rPr>
          <w:rFonts w:asciiTheme="minorEastAsia" w:eastAsiaTheme="minorEastAsia" w:hAnsiTheme="minorEastAsia" w:hint="eastAsia"/>
          <w:sz w:val="18"/>
          <w:szCs w:val="18"/>
        </w:rPr>
        <w:t>一控制之日孰晚日</w:t>
      </w:r>
      <w:proofErr w:type="gramEnd"/>
      <w:r w:rsidRPr="00AC0334">
        <w:rPr>
          <w:rFonts w:asciiTheme="minorEastAsia" w:eastAsiaTheme="minorEastAsia" w:hAnsiTheme="minorEastAsia" w:hint="eastAsia"/>
          <w:sz w:val="18"/>
          <w:szCs w:val="18"/>
        </w:rPr>
        <w:t>起至</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之间已确认有关损益、其他综合收益以及其他净资产变动，分别冲减比较报表期间的期初留存收益或当期损益。</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在报告期内，若因非同</w:t>
      </w:r>
      <w:proofErr w:type="gramStart"/>
      <w:r w:rsidRPr="00AC0334">
        <w:rPr>
          <w:rFonts w:asciiTheme="minorEastAsia" w:eastAsiaTheme="minorEastAsia" w:hAnsiTheme="minorEastAsia" w:hint="eastAsia"/>
          <w:sz w:val="18"/>
          <w:szCs w:val="18"/>
        </w:rPr>
        <w:t>一控制</w:t>
      </w:r>
      <w:proofErr w:type="gramEnd"/>
      <w:r w:rsidRPr="00AC0334">
        <w:rPr>
          <w:rFonts w:asciiTheme="minorEastAsia" w:eastAsiaTheme="minorEastAsia" w:hAnsiTheme="minorEastAsia" w:hint="eastAsia"/>
          <w:sz w:val="18"/>
          <w:szCs w:val="18"/>
        </w:rPr>
        <w:t>下企业合并增加子公司或业务的，则不调整合并资产负债表期初数；将该子公司或业务自购买日至报告期末的收入、费用、利润纳入合并利润表；该子公司或业务自购买日至报告期末的现金流量纳入合并现金流量表。</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因追加投资等原因能够对非同</w:t>
      </w:r>
      <w:proofErr w:type="gramStart"/>
      <w:r w:rsidRPr="00AC0334">
        <w:rPr>
          <w:rFonts w:asciiTheme="minorEastAsia" w:eastAsiaTheme="minorEastAsia" w:hAnsiTheme="minorEastAsia" w:hint="eastAsia"/>
          <w:sz w:val="18"/>
          <w:szCs w:val="18"/>
        </w:rPr>
        <w:t>一控制</w:t>
      </w:r>
      <w:proofErr w:type="gramEnd"/>
      <w:r w:rsidRPr="00AC0334">
        <w:rPr>
          <w:rFonts w:asciiTheme="minorEastAsia" w:eastAsiaTheme="minorEastAsia" w:hAnsiTheme="minorEastAsia" w:hint="eastAsia"/>
          <w:sz w:val="18"/>
          <w:szCs w:val="18"/>
        </w:rPr>
        <w:t>下的被投资方实施控制的，对于购买日之前持有的被购买方的股权，本公司按照该股权在购买日的公允价值进行重新计量，公允价值与其账面价值的差额计入当期投资收益。购买日之前持有的被购买方的股权涉及权益法核算下的其他综合收益以及除净损益、其他综合收益和利润分配之外的其他所有者权益变动的，与其相关的其他综合收益、其他所有者权益变动转为购买日所属当期投资收益，由于被投资方重新计量设定受益计划净负债或净资产变动而产生的其他综合收益除外。</w:t>
      </w:r>
    </w:p>
    <w:p w:rsidR="00BE788E" w:rsidRPr="00AC0334" w:rsidRDefault="00BE788E" w:rsidP="00AC0334">
      <w:pPr>
        <w:widowControl/>
        <w:numPr>
          <w:ilvl w:val="0"/>
          <w:numId w:val="9"/>
        </w:numPr>
        <w:divId w:val="1891188415"/>
        <w:rPr>
          <w:rFonts w:asciiTheme="minorEastAsia" w:hAnsiTheme="minorEastAsia" w:cs="Calibri"/>
          <w:szCs w:val="21"/>
        </w:rPr>
      </w:pPr>
      <w:r w:rsidRPr="00AC0334">
        <w:rPr>
          <w:rFonts w:asciiTheme="minorEastAsia" w:hAnsiTheme="minorEastAsia" w:cs="Calibri" w:hint="eastAsia"/>
          <w:sz w:val="18"/>
          <w:szCs w:val="18"/>
        </w:rPr>
        <w:t>处置子公司或业务</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1）一般处理方法</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在报告期内，本公司处置子公司或业务，则该子公司或业务期初至</w:t>
      </w:r>
      <w:proofErr w:type="gramStart"/>
      <w:r w:rsidRPr="00AC0334">
        <w:rPr>
          <w:rFonts w:asciiTheme="minorEastAsia" w:eastAsiaTheme="minorEastAsia" w:hAnsiTheme="minorEastAsia" w:hint="eastAsia"/>
          <w:sz w:val="18"/>
          <w:szCs w:val="18"/>
        </w:rPr>
        <w:t>处置日</w:t>
      </w:r>
      <w:proofErr w:type="gramEnd"/>
      <w:r w:rsidRPr="00AC0334">
        <w:rPr>
          <w:rFonts w:asciiTheme="minorEastAsia" w:eastAsiaTheme="minorEastAsia" w:hAnsiTheme="minorEastAsia" w:hint="eastAsia"/>
          <w:sz w:val="18"/>
          <w:szCs w:val="18"/>
        </w:rPr>
        <w:t>的收入、费用、利润纳入合并利润表；该子公司或业务期初至</w:t>
      </w:r>
      <w:proofErr w:type="gramStart"/>
      <w:r w:rsidRPr="00AC0334">
        <w:rPr>
          <w:rFonts w:asciiTheme="minorEastAsia" w:eastAsiaTheme="minorEastAsia" w:hAnsiTheme="minorEastAsia" w:hint="eastAsia"/>
          <w:sz w:val="18"/>
          <w:szCs w:val="18"/>
        </w:rPr>
        <w:t>处置日</w:t>
      </w:r>
      <w:proofErr w:type="gramEnd"/>
      <w:r w:rsidRPr="00AC0334">
        <w:rPr>
          <w:rFonts w:asciiTheme="minorEastAsia" w:eastAsiaTheme="minorEastAsia" w:hAnsiTheme="minorEastAsia" w:hint="eastAsia"/>
          <w:sz w:val="18"/>
          <w:szCs w:val="18"/>
        </w:rPr>
        <w:t>的现金流量纳入合并现金流量表。</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因处置部分股权投资或其他原因丧失了对被投资方控制权时，对于处置后的剩余股权投资，本公司按照其在丧失控制权日的公允价值进行重新计量。处置股权取得的对价与剩余股权公允价值之和，减去按原持股比例计算应享有原有子公司自购买日或</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开始持续计算的净资产的份额与商誉之和的差额，计入丧失控制权当期的投资收益。与原有子公司股权投资相关的其他综合收益或除净损益、其他综合收益及利润分配之外的其他所有者权益变动，在丧失控制权时转为当期投资收益，由于被投资方重新计量设定受益计划净负债或净资产变动而产生的其他综合收益除外。</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2）分步处置子公司</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通过多次交易分步处置对子公司股权投资直至丧失控制权的，处置对子公司股权投资的各项交易的条款、条件以及经济影响符合以下一种或多种情况，通常表明应将多次交易事项作为一揽子交易进行会计处理：</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A.这些交易是同时或者在考虑了彼此影响的情况下订立的；</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lastRenderedPageBreak/>
        <w:t>B.这些交易整体才能达成一项完整的商业结果；</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C.一项交易的发生取决于其他至少一项交易的发生；</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D.一项交易单独看是不经济的，但是和其他交易一并考虑时是经济的。</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处置对子公司股权投资直至丧失控制权的各项交易属于一揽子交易的，本公司将各项交易作为一项处置子公司并丧失控制权的交易进行会计处理；但是，在丧失控制权之前每一次处置价款与处置投资对应的享有该子公司净资产份额的差额，在合并财务报表中确认为其他综合收益，在丧失控制权时一并转入丧失控制权当期的损益。</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处置对子公司股权投资直至丧失控制权的各项交易不属于一揽子交易的，在丧失控制权之前，按不丧失控制权的情况下部分处置对子公司的股权投资的相关政策进行会计处理；在丧失控制权时，按处置子公司一般处理方法进行会计处理。</w:t>
      </w:r>
    </w:p>
    <w:p w:rsidR="00BE788E" w:rsidRPr="00AC0334" w:rsidRDefault="00BE788E" w:rsidP="00AC0334">
      <w:pPr>
        <w:widowControl/>
        <w:numPr>
          <w:ilvl w:val="0"/>
          <w:numId w:val="10"/>
        </w:numPr>
        <w:divId w:val="1891188415"/>
        <w:rPr>
          <w:rFonts w:asciiTheme="minorEastAsia" w:hAnsiTheme="minorEastAsia" w:cs="Calibri"/>
          <w:szCs w:val="21"/>
        </w:rPr>
      </w:pPr>
      <w:r w:rsidRPr="00AC0334">
        <w:rPr>
          <w:rFonts w:asciiTheme="minorEastAsia" w:hAnsiTheme="minorEastAsia" w:cs="Calibri" w:hint="eastAsia"/>
          <w:sz w:val="18"/>
          <w:szCs w:val="18"/>
        </w:rPr>
        <w:t>购买子公司少数股权</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本公司因购买少数股权新取得的长期股权投资与按照新增持股比例计算应享有子公司自购买日（或合并日）开始持续计算的净资产份额之间的差额，调整合并资产负债表中的资本公积中的股本溢价，资本公积中的股本溢价不足冲减的，调整留存收益。</w:t>
      </w:r>
    </w:p>
    <w:p w:rsidR="00BE788E" w:rsidRPr="00AC0334" w:rsidRDefault="00BE788E" w:rsidP="00AC0334">
      <w:pPr>
        <w:widowControl/>
        <w:numPr>
          <w:ilvl w:val="0"/>
          <w:numId w:val="11"/>
        </w:numPr>
        <w:divId w:val="1891188415"/>
        <w:rPr>
          <w:rFonts w:asciiTheme="minorEastAsia" w:hAnsiTheme="minorEastAsia" w:cs="Calibri"/>
          <w:szCs w:val="21"/>
        </w:rPr>
      </w:pPr>
      <w:r w:rsidRPr="00AC0334">
        <w:rPr>
          <w:rFonts w:asciiTheme="minorEastAsia" w:hAnsiTheme="minorEastAsia" w:cs="Calibri" w:hint="eastAsia"/>
          <w:sz w:val="18"/>
          <w:szCs w:val="18"/>
        </w:rPr>
        <w:t>不丧失控制权的情况下部分处置对子公司的股权投资</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sz w:val="18"/>
          <w:szCs w:val="18"/>
        </w:rPr>
      </w:pPr>
      <w:r w:rsidRPr="00AC0334">
        <w:rPr>
          <w:rFonts w:asciiTheme="minorEastAsia" w:eastAsiaTheme="minorEastAsia" w:hAnsiTheme="minorEastAsia"/>
          <w:sz w:val="18"/>
          <w:szCs w:val="18"/>
        </w:rPr>
        <w:t>   </w:t>
      </w:r>
      <w:r w:rsidRPr="00AC0334">
        <w:rPr>
          <w:rFonts w:asciiTheme="minorEastAsia" w:eastAsiaTheme="minorEastAsia" w:hAnsiTheme="minorEastAsia" w:hint="eastAsia"/>
          <w:sz w:val="18"/>
          <w:szCs w:val="18"/>
        </w:rPr>
        <w:t>在不丧失控制权的情况下因部分处置对子公司的长期股权投资而取得的处置价款与处置长期股权投资相对应享有子公司自购买日或</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开始持续计算的净资产份额之间的差额，调整合并资产负债表中的资本公积中的股本溢价，资本公积中的股本溢价不足冲减的，调整留存收益。</w:t>
      </w:r>
    </w:p>
    <w:p w:rsidR="00037019" w:rsidRDefault="00BE788E">
      <w:pPr>
        <w:pStyle w:val="3"/>
        <w:spacing w:line="280" w:lineRule="exact"/>
        <w:jc w:val="left"/>
        <w:rPr>
          <w:rFonts w:ascii="宋体" w:hAnsi="宋体" w:cs="宋体"/>
          <w:b/>
          <w:bCs/>
        </w:rPr>
      </w:pPr>
      <w:bookmarkStart w:id="24" w:name="_Toc989014"/>
      <w:r>
        <w:rPr>
          <w:rFonts w:ascii="宋体" w:hAnsi="宋体" w:cs="宋体"/>
          <w:b/>
          <w:bCs/>
        </w:rPr>
        <w:t>8、合营安排分类及共同经营会计处理方法</w:t>
      </w:r>
      <w:bookmarkEnd w:id="24"/>
    </w:p>
    <w:p w:rsidR="00BE788E" w:rsidRPr="00AC0334" w:rsidRDefault="00BE788E" w:rsidP="00AC0334">
      <w:pPr>
        <w:widowControl/>
        <w:numPr>
          <w:ilvl w:val="0"/>
          <w:numId w:val="12"/>
        </w:numPr>
        <w:spacing w:before="100" w:beforeAutospacing="1" w:after="100" w:afterAutospacing="1"/>
        <w:divId w:val="39596949"/>
        <w:rPr>
          <w:rFonts w:asciiTheme="minorEastAsia" w:hAnsiTheme="minorEastAsia"/>
          <w:sz w:val="18"/>
          <w:szCs w:val="18"/>
        </w:rPr>
      </w:pPr>
      <w:r w:rsidRPr="00AC0334">
        <w:rPr>
          <w:rStyle w:val="a5"/>
          <w:rFonts w:asciiTheme="minorEastAsia" w:hAnsiTheme="minorEastAsia" w:hint="eastAsia"/>
          <w:b w:val="0"/>
          <w:sz w:val="18"/>
          <w:szCs w:val="18"/>
        </w:rPr>
        <w:t>合营安排的分类</w:t>
      </w:r>
    </w:p>
    <w:p w:rsidR="00BE788E" w:rsidRPr="00AC0334" w:rsidRDefault="00BE788E" w:rsidP="00AC0334">
      <w:pPr>
        <w:pStyle w:val="a3"/>
        <w:spacing w:before="0" w:beforeAutospacing="0" w:after="0" w:afterAutospacing="0"/>
        <w:ind w:firstLine="420"/>
        <w:jc w:val="both"/>
        <w:divId w:val="39596949"/>
        <w:rPr>
          <w:rFonts w:asciiTheme="minorEastAsia" w:eastAsiaTheme="minorEastAsia" w:hAnsiTheme="minorEastAsia"/>
        </w:rPr>
      </w:pPr>
      <w:r w:rsidRPr="00AC0334">
        <w:rPr>
          <w:rFonts w:asciiTheme="minorEastAsia" w:eastAsiaTheme="minorEastAsia" w:hAnsiTheme="minorEastAsia" w:hint="eastAsia"/>
          <w:sz w:val="18"/>
          <w:szCs w:val="18"/>
        </w:rPr>
        <w:t>本公司根据合营安排的结构、法律形式以及合营安排中约定的条款、其他相关事实和情况等因素，将合营安排分为共同经营和合营企业。</w:t>
      </w:r>
    </w:p>
    <w:p w:rsidR="00BE788E" w:rsidRPr="00AC0334" w:rsidRDefault="00BE788E" w:rsidP="00AC0334">
      <w:pPr>
        <w:pStyle w:val="a3"/>
        <w:spacing w:before="0" w:beforeAutospacing="0" w:after="0" w:afterAutospacing="0"/>
        <w:ind w:firstLine="420"/>
        <w:jc w:val="both"/>
        <w:divId w:val="39596949"/>
        <w:rPr>
          <w:rFonts w:asciiTheme="minorEastAsia" w:eastAsiaTheme="minorEastAsia" w:hAnsiTheme="minorEastAsia"/>
        </w:rPr>
      </w:pPr>
      <w:r w:rsidRPr="00AC0334">
        <w:rPr>
          <w:rFonts w:asciiTheme="minorEastAsia" w:eastAsiaTheme="minorEastAsia" w:hAnsiTheme="minorEastAsia" w:hint="eastAsia"/>
          <w:sz w:val="18"/>
          <w:szCs w:val="18"/>
        </w:rPr>
        <w:t>未通过单独主体达成的合营安排，划分为共同经营；通过单独主体达成的合营安排，通常划分为合营企业；但有确凿证据表明满足下列任</w:t>
      </w:r>
      <w:proofErr w:type="gramStart"/>
      <w:r w:rsidRPr="00AC0334">
        <w:rPr>
          <w:rFonts w:asciiTheme="minorEastAsia" w:eastAsiaTheme="minorEastAsia" w:hAnsiTheme="minorEastAsia" w:hint="eastAsia"/>
          <w:sz w:val="18"/>
          <w:szCs w:val="18"/>
        </w:rPr>
        <w:t>一</w:t>
      </w:r>
      <w:proofErr w:type="gramEnd"/>
      <w:r w:rsidRPr="00AC0334">
        <w:rPr>
          <w:rFonts w:asciiTheme="minorEastAsia" w:eastAsiaTheme="minorEastAsia" w:hAnsiTheme="minorEastAsia" w:hint="eastAsia"/>
          <w:sz w:val="18"/>
          <w:szCs w:val="18"/>
        </w:rPr>
        <w:t>条件并且符合相关法律法规规定的合营安排划分为共同经营：</w:t>
      </w:r>
    </w:p>
    <w:p w:rsidR="00BE788E" w:rsidRPr="00AC0334" w:rsidRDefault="00BE788E" w:rsidP="00AC0334">
      <w:pPr>
        <w:widowControl/>
        <w:numPr>
          <w:ilvl w:val="1"/>
          <w:numId w:val="13"/>
        </w:numPr>
        <w:divId w:val="39596949"/>
        <w:rPr>
          <w:rFonts w:asciiTheme="minorEastAsia" w:hAnsiTheme="minorEastAsia" w:cs="Calibri"/>
          <w:szCs w:val="21"/>
        </w:rPr>
      </w:pPr>
      <w:r w:rsidRPr="00AC0334">
        <w:rPr>
          <w:rFonts w:asciiTheme="minorEastAsia" w:hAnsiTheme="minorEastAsia" w:cs="Calibri" w:hint="eastAsia"/>
          <w:sz w:val="18"/>
          <w:szCs w:val="18"/>
        </w:rPr>
        <w:t>合营安排的法律形式表明，合营方对该安排中的相关资产和负债分别享有权利和承担义务。</w:t>
      </w:r>
    </w:p>
    <w:p w:rsidR="00BE788E" w:rsidRPr="00AC0334" w:rsidRDefault="00BE788E" w:rsidP="00AC0334">
      <w:pPr>
        <w:widowControl/>
        <w:numPr>
          <w:ilvl w:val="1"/>
          <w:numId w:val="13"/>
        </w:numPr>
        <w:divId w:val="39596949"/>
        <w:rPr>
          <w:rFonts w:asciiTheme="minorEastAsia" w:hAnsiTheme="minorEastAsia" w:cs="Calibri"/>
          <w:szCs w:val="21"/>
        </w:rPr>
      </w:pPr>
      <w:r w:rsidRPr="00AC0334">
        <w:rPr>
          <w:rFonts w:asciiTheme="minorEastAsia" w:hAnsiTheme="minorEastAsia" w:cs="Calibri" w:hint="eastAsia"/>
          <w:sz w:val="18"/>
          <w:szCs w:val="18"/>
        </w:rPr>
        <w:t>合营安排的合同条款约定，合营方对该安排中的相关资产和负债分别享有权利和承担义务。</w:t>
      </w:r>
    </w:p>
    <w:p w:rsidR="00BE788E" w:rsidRPr="00AC0334" w:rsidRDefault="00BE788E" w:rsidP="00AC0334">
      <w:pPr>
        <w:widowControl/>
        <w:numPr>
          <w:ilvl w:val="1"/>
          <w:numId w:val="13"/>
        </w:numPr>
        <w:divId w:val="39596949"/>
        <w:rPr>
          <w:rFonts w:asciiTheme="minorEastAsia" w:hAnsiTheme="minorEastAsia" w:cs="Calibri"/>
          <w:szCs w:val="21"/>
        </w:rPr>
      </w:pPr>
      <w:r w:rsidRPr="00AC0334">
        <w:rPr>
          <w:rFonts w:asciiTheme="minorEastAsia" w:hAnsiTheme="minorEastAsia" w:cs="Calibri" w:hint="eastAsia"/>
          <w:sz w:val="18"/>
          <w:szCs w:val="18"/>
        </w:rPr>
        <w:t>其他相关事实和情况表明，合营方对该安排中的相关资产和负债分别享有权利和承担义务，如合营方享有与合营安排相关的几乎所有产出，并且该安排中负债的清偿持续依赖于合营方的支持。</w:t>
      </w:r>
    </w:p>
    <w:p w:rsidR="00BE788E" w:rsidRPr="00AC0334" w:rsidRDefault="00BE788E" w:rsidP="00AC0334">
      <w:pPr>
        <w:widowControl/>
        <w:numPr>
          <w:ilvl w:val="0"/>
          <w:numId w:val="14"/>
        </w:numPr>
        <w:spacing w:before="100" w:beforeAutospacing="1" w:after="100" w:afterAutospacing="1"/>
        <w:divId w:val="39596949"/>
        <w:rPr>
          <w:rFonts w:asciiTheme="minorEastAsia" w:hAnsiTheme="minorEastAsia" w:cs="宋体"/>
          <w:sz w:val="18"/>
          <w:szCs w:val="18"/>
        </w:rPr>
      </w:pPr>
      <w:r w:rsidRPr="00AC0334">
        <w:rPr>
          <w:rStyle w:val="a5"/>
          <w:rFonts w:asciiTheme="minorEastAsia" w:hAnsiTheme="minorEastAsia" w:hint="eastAsia"/>
          <w:b w:val="0"/>
          <w:sz w:val="18"/>
          <w:szCs w:val="18"/>
        </w:rPr>
        <w:t>共同经营会计处理方法</w:t>
      </w:r>
    </w:p>
    <w:p w:rsidR="00BE788E" w:rsidRPr="00AC0334" w:rsidRDefault="00BE788E" w:rsidP="00AC0334">
      <w:pPr>
        <w:pStyle w:val="a3"/>
        <w:spacing w:before="0" w:beforeAutospacing="0" w:after="0" w:afterAutospacing="0"/>
        <w:ind w:firstLine="420"/>
        <w:jc w:val="both"/>
        <w:divId w:val="39596949"/>
        <w:rPr>
          <w:rFonts w:asciiTheme="minorEastAsia" w:eastAsiaTheme="minorEastAsia" w:hAnsiTheme="minorEastAsia"/>
        </w:rPr>
      </w:pPr>
      <w:r w:rsidRPr="00AC0334">
        <w:rPr>
          <w:rFonts w:asciiTheme="minorEastAsia" w:eastAsiaTheme="minorEastAsia" w:hAnsiTheme="minorEastAsia" w:hint="eastAsia"/>
          <w:sz w:val="18"/>
          <w:szCs w:val="18"/>
        </w:rPr>
        <w:t>本公司确认共同经营中利益份额中与本公司相关的下列项目，并按照相关企业会计准则的规定进行会计处理：</w:t>
      </w:r>
    </w:p>
    <w:p w:rsidR="00BE788E" w:rsidRPr="00AC0334" w:rsidRDefault="00BE788E" w:rsidP="00AC0334">
      <w:pPr>
        <w:widowControl/>
        <w:numPr>
          <w:ilvl w:val="1"/>
          <w:numId w:val="15"/>
        </w:numPr>
        <w:divId w:val="39596949"/>
        <w:rPr>
          <w:rFonts w:asciiTheme="minorEastAsia" w:hAnsiTheme="minorEastAsia" w:cs="Calibri"/>
          <w:szCs w:val="21"/>
        </w:rPr>
      </w:pPr>
      <w:r w:rsidRPr="00AC0334">
        <w:rPr>
          <w:rFonts w:asciiTheme="minorEastAsia" w:hAnsiTheme="minorEastAsia" w:cs="Calibri" w:hint="eastAsia"/>
          <w:sz w:val="18"/>
          <w:szCs w:val="18"/>
        </w:rPr>
        <w:t>确认单独所持有的资产，以及按其份额确认共同持有的资产；</w:t>
      </w:r>
    </w:p>
    <w:p w:rsidR="00BE788E" w:rsidRPr="00AC0334" w:rsidRDefault="00BE788E" w:rsidP="00AC0334">
      <w:pPr>
        <w:widowControl/>
        <w:numPr>
          <w:ilvl w:val="1"/>
          <w:numId w:val="15"/>
        </w:numPr>
        <w:divId w:val="39596949"/>
        <w:rPr>
          <w:rFonts w:asciiTheme="minorEastAsia" w:hAnsiTheme="minorEastAsia" w:cs="Calibri"/>
          <w:szCs w:val="21"/>
        </w:rPr>
      </w:pPr>
      <w:r w:rsidRPr="00AC0334">
        <w:rPr>
          <w:rFonts w:asciiTheme="minorEastAsia" w:hAnsiTheme="minorEastAsia" w:cs="Calibri" w:hint="eastAsia"/>
          <w:sz w:val="18"/>
          <w:szCs w:val="18"/>
        </w:rPr>
        <w:t>确认单独所承担的负债，以及按其份额确认共同承担的负债；</w:t>
      </w:r>
    </w:p>
    <w:p w:rsidR="00BE788E" w:rsidRPr="00AC0334" w:rsidRDefault="00BE788E" w:rsidP="00AC0334">
      <w:pPr>
        <w:widowControl/>
        <w:numPr>
          <w:ilvl w:val="1"/>
          <w:numId w:val="15"/>
        </w:numPr>
        <w:divId w:val="39596949"/>
        <w:rPr>
          <w:rFonts w:asciiTheme="minorEastAsia" w:hAnsiTheme="minorEastAsia" w:cs="Calibri"/>
          <w:szCs w:val="21"/>
        </w:rPr>
      </w:pPr>
      <w:r w:rsidRPr="00AC0334">
        <w:rPr>
          <w:rFonts w:asciiTheme="minorEastAsia" w:hAnsiTheme="minorEastAsia" w:cs="Calibri" w:hint="eastAsia"/>
          <w:sz w:val="18"/>
          <w:szCs w:val="18"/>
        </w:rPr>
        <w:t>确认出售其享有的共同经营产出份额所产生的收入；</w:t>
      </w:r>
    </w:p>
    <w:p w:rsidR="00BE788E" w:rsidRPr="00AC0334" w:rsidRDefault="00BE788E" w:rsidP="00AC0334">
      <w:pPr>
        <w:widowControl/>
        <w:numPr>
          <w:ilvl w:val="1"/>
          <w:numId w:val="15"/>
        </w:numPr>
        <w:divId w:val="39596949"/>
        <w:rPr>
          <w:rFonts w:asciiTheme="minorEastAsia" w:hAnsiTheme="minorEastAsia" w:cs="Calibri"/>
          <w:szCs w:val="21"/>
        </w:rPr>
      </w:pPr>
      <w:r w:rsidRPr="00AC0334">
        <w:rPr>
          <w:rFonts w:asciiTheme="minorEastAsia" w:hAnsiTheme="minorEastAsia" w:cs="Calibri" w:hint="eastAsia"/>
          <w:sz w:val="18"/>
          <w:szCs w:val="18"/>
        </w:rPr>
        <w:t>按其份额确认共同经营因出售产出所产生的收入；</w:t>
      </w:r>
    </w:p>
    <w:p w:rsidR="00BE788E" w:rsidRPr="00AC0334" w:rsidRDefault="00BE788E" w:rsidP="00AC0334">
      <w:pPr>
        <w:widowControl/>
        <w:numPr>
          <w:ilvl w:val="1"/>
          <w:numId w:val="15"/>
        </w:numPr>
        <w:divId w:val="39596949"/>
        <w:rPr>
          <w:rFonts w:asciiTheme="minorEastAsia" w:hAnsiTheme="minorEastAsia" w:cs="Calibri"/>
          <w:szCs w:val="21"/>
        </w:rPr>
      </w:pPr>
      <w:r w:rsidRPr="00AC0334">
        <w:rPr>
          <w:rFonts w:asciiTheme="minorEastAsia" w:hAnsiTheme="minorEastAsia" w:cs="Calibri" w:hint="eastAsia"/>
          <w:sz w:val="18"/>
          <w:szCs w:val="18"/>
        </w:rPr>
        <w:t>确认单独所发生的费用，以及按其份额确认共同经营发生的费用。</w:t>
      </w:r>
    </w:p>
    <w:p w:rsidR="00BE788E" w:rsidRPr="00AC0334" w:rsidRDefault="00BE788E" w:rsidP="00AC0334">
      <w:pPr>
        <w:pStyle w:val="a3"/>
        <w:spacing w:before="0" w:beforeAutospacing="0" w:after="0" w:afterAutospacing="0"/>
        <w:ind w:firstLine="420"/>
        <w:jc w:val="both"/>
        <w:divId w:val="39596949"/>
        <w:rPr>
          <w:rFonts w:asciiTheme="minorEastAsia" w:eastAsiaTheme="minorEastAsia" w:hAnsiTheme="minorEastAsia"/>
        </w:rPr>
      </w:pPr>
      <w:r w:rsidRPr="00AC0334">
        <w:rPr>
          <w:rFonts w:asciiTheme="minorEastAsia" w:eastAsiaTheme="minorEastAsia" w:hAnsiTheme="minorEastAsia" w:hint="eastAsia"/>
          <w:sz w:val="18"/>
          <w:szCs w:val="18"/>
        </w:rPr>
        <w:t>本公司向共同经营投出或出售资产等（该资产构成业务的除外），在该资产等由共同经营出售给第三方之前，仅</w:t>
      </w:r>
      <w:proofErr w:type="gramStart"/>
      <w:r w:rsidRPr="00AC0334">
        <w:rPr>
          <w:rFonts w:asciiTheme="minorEastAsia" w:eastAsiaTheme="minorEastAsia" w:hAnsiTheme="minorEastAsia" w:hint="eastAsia"/>
          <w:sz w:val="18"/>
          <w:szCs w:val="18"/>
        </w:rPr>
        <w:t>确认因</w:t>
      </w:r>
      <w:proofErr w:type="gramEnd"/>
      <w:r w:rsidRPr="00AC0334">
        <w:rPr>
          <w:rFonts w:asciiTheme="minorEastAsia" w:eastAsiaTheme="minorEastAsia" w:hAnsiTheme="minorEastAsia" w:hint="eastAsia"/>
          <w:sz w:val="18"/>
          <w:szCs w:val="18"/>
        </w:rPr>
        <w:t>该交易产生的损益中归属于共同经营其他参与方的部分。投出或出售的资产发生符合《企业会计准则第</w:t>
      </w:r>
      <w:r w:rsidRPr="00AC0334">
        <w:rPr>
          <w:rFonts w:asciiTheme="minorEastAsia" w:eastAsiaTheme="minorEastAsia" w:hAnsiTheme="minorEastAsia" w:cs="Times New Roman"/>
          <w:sz w:val="18"/>
          <w:szCs w:val="18"/>
        </w:rPr>
        <w:t>8</w:t>
      </w:r>
      <w:r w:rsidRPr="00AC0334">
        <w:rPr>
          <w:rFonts w:asciiTheme="minorEastAsia" w:eastAsiaTheme="minorEastAsia" w:hAnsiTheme="minorEastAsia" w:hint="eastAsia"/>
          <w:sz w:val="18"/>
          <w:szCs w:val="18"/>
        </w:rPr>
        <w:t>号——资产减值》等规定的资产减值损失的，本公司全额确认该损失。</w:t>
      </w:r>
    </w:p>
    <w:p w:rsidR="00BE788E" w:rsidRPr="00AC0334" w:rsidRDefault="00BE788E" w:rsidP="00AC0334">
      <w:pPr>
        <w:pStyle w:val="a3"/>
        <w:spacing w:before="0" w:beforeAutospacing="0" w:after="0" w:afterAutospacing="0"/>
        <w:ind w:firstLine="420"/>
        <w:jc w:val="both"/>
        <w:divId w:val="39596949"/>
        <w:rPr>
          <w:rFonts w:asciiTheme="minorEastAsia" w:eastAsiaTheme="minorEastAsia" w:hAnsiTheme="minorEastAsia"/>
        </w:rPr>
      </w:pPr>
      <w:r w:rsidRPr="00AC0334">
        <w:rPr>
          <w:rFonts w:asciiTheme="minorEastAsia" w:eastAsiaTheme="minorEastAsia" w:hAnsiTheme="minorEastAsia" w:hint="eastAsia"/>
          <w:sz w:val="18"/>
          <w:szCs w:val="18"/>
        </w:rPr>
        <w:lastRenderedPageBreak/>
        <w:t>本公司</w:t>
      </w:r>
      <w:proofErr w:type="gramStart"/>
      <w:r w:rsidRPr="00AC0334">
        <w:rPr>
          <w:rFonts w:asciiTheme="minorEastAsia" w:eastAsiaTheme="minorEastAsia" w:hAnsiTheme="minorEastAsia" w:hint="eastAsia"/>
          <w:sz w:val="18"/>
          <w:szCs w:val="18"/>
        </w:rPr>
        <w:t>自共同</w:t>
      </w:r>
      <w:proofErr w:type="gramEnd"/>
      <w:r w:rsidRPr="00AC0334">
        <w:rPr>
          <w:rFonts w:asciiTheme="minorEastAsia" w:eastAsiaTheme="minorEastAsia" w:hAnsiTheme="minorEastAsia" w:hint="eastAsia"/>
          <w:sz w:val="18"/>
          <w:szCs w:val="18"/>
        </w:rPr>
        <w:t>经营购买资产等（该资产构成业务的除外），在将该资产等出售给第三方之前，仅</w:t>
      </w:r>
      <w:proofErr w:type="gramStart"/>
      <w:r w:rsidRPr="00AC0334">
        <w:rPr>
          <w:rFonts w:asciiTheme="minorEastAsia" w:eastAsiaTheme="minorEastAsia" w:hAnsiTheme="minorEastAsia" w:hint="eastAsia"/>
          <w:sz w:val="18"/>
          <w:szCs w:val="18"/>
        </w:rPr>
        <w:t>确认因</w:t>
      </w:r>
      <w:proofErr w:type="gramEnd"/>
      <w:r w:rsidRPr="00AC0334">
        <w:rPr>
          <w:rFonts w:asciiTheme="minorEastAsia" w:eastAsiaTheme="minorEastAsia" w:hAnsiTheme="minorEastAsia" w:hint="eastAsia"/>
          <w:sz w:val="18"/>
          <w:szCs w:val="18"/>
        </w:rPr>
        <w:t>该交易产生的损益中归属于共同经营其他参与方的部分。购入的资产发生符合《企业会计准则第</w:t>
      </w:r>
      <w:r w:rsidRPr="00AC0334">
        <w:rPr>
          <w:rFonts w:asciiTheme="minorEastAsia" w:eastAsiaTheme="minorEastAsia" w:hAnsiTheme="minorEastAsia" w:cs="Times New Roman"/>
          <w:sz w:val="18"/>
          <w:szCs w:val="18"/>
        </w:rPr>
        <w:t>8</w:t>
      </w:r>
      <w:r w:rsidRPr="00AC0334">
        <w:rPr>
          <w:rFonts w:asciiTheme="minorEastAsia" w:eastAsiaTheme="minorEastAsia" w:hAnsiTheme="minorEastAsia" w:hint="eastAsia"/>
          <w:sz w:val="18"/>
          <w:szCs w:val="18"/>
        </w:rPr>
        <w:t>号——资产减值》等规定的资产减值损失的，本公司按承担的份额确认该部分损失。</w:t>
      </w:r>
    </w:p>
    <w:p w:rsidR="00BE788E" w:rsidRPr="00AC0334" w:rsidRDefault="00BE788E" w:rsidP="00AC0334">
      <w:pPr>
        <w:pStyle w:val="a3"/>
        <w:spacing w:before="0" w:beforeAutospacing="0" w:after="0" w:afterAutospacing="0"/>
        <w:ind w:firstLine="420"/>
        <w:jc w:val="both"/>
        <w:divId w:val="39596949"/>
        <w:rPr>
          <w:rFonts w:asciiTheme="minorEastAsia" w:eastAsiaTheme="minorEastAsia" w:hAnsiTheme="minorEastAsia"/>
        </w:rPr>
      </w:pPr>
      <w:r w:rsidRPr="00AC0334">
        <w:rPr>
          <w:rFonts w:asciiTheme="minorEastAsia" w:eastAsiaTheme="minorEastAsia" w:hAnsiTheme="minorEastAsia" w:hint="eastAsia"/>
          <w:sz w:val="18"/>
          <w:szCs w:val="18"/>
        </w:rPr>
        <w:t>本公司对共同经营不享有共同控制，如果本公司享有</w:t>
      </w:r>
      <w:proofErr w:type="gramStart"/>
      <w:r w:rsidRPr="00AC0334">
        <w:rPr>
          <w:rFonts w:asciiTheme="minorEastAsia" w:eastAsiaTheme="minorEastAsia" w:hAnsiTheme="minorEastAsia" w:hint="eastAsia"/>
          <w:sz w:val="18"/>
          <w:szCs w:val="18"/>
        </w:rPr>
        <w:t>该共同</w:t>
      </w:r>
      <w:proofErr w:type="gramEnd"/>
      <w:r w:rsidRPr="00AC0334">
        <w:rPr>
          <w:rFonts w:asciiTheme="minorEastAsia" w:eastAsiaTheme="minorEastAsia" w:hAnsiTheme="minorEastAsia" w:hint="eastAsia"/>
          <w:sz w:val="18"/>
          <w:szCs w:val="18"/>
        </w:rPr>
        <w:t>经营相关资产且承担</w:t>
      </w:r>
      <w:proofErr w:type="gramStart"/>
      <w:r w:rsidRPr="00AC0334">
        <w:rPr>
          <w:rFonts w:asciiTheme="minorEastAsia" w:eastAsiaTheme="minorEastAsia" w:hAnsiTheme="minorEastAsia" w:hint="eastAsia"/>
          <w:sz w:val="18"/>
          <w:szCs w:val="18"/>
        </w:rPr>
        <w:t>该共同</w:t>
      </w:r>
      <w:proofErr w:type="gramEnd"/>
      <w:r w:rsidRPr="00AC0334">
        <w:rPr>
          <w:rFonts w:asciiTheme="minorEastAsia" w:eastAsiaTheme="minorEastAsia" w:hAnsiTheme="minorEastAsia" w:hint="eastAsia"/>
          <w:sz w:val="18"/>
          <w:szCs w:val="18"/>
        </w:rPr>
        <w:t>经营相关负债的，仍按上述原则进行会计处理，否则，应当按照相关企业会计准则的规定进行会计处理。</w:t>
      </w:r>
    </w:p>
    <w:p w:rsidR="00037019" w:rsidRDefault="00BE788E">
      <w:pPr>
        <w:pStyle w:val="3"/>
        <w:spacing w:line="280" w:lineRule="exact"/>
        <w:jc w:val="left"/>
        <w:rPr>
          <w:rFonts w:ascii="宋体" w:hAnsi="宋体" w:cs="宋体"/>
          <w:b/>
          <w:bCs/>
        </w:rPr>
      </w:pPr>
      <w:bookmarkStart w:id="25" w:name="_Toc989015"/>
      <w:r>
        <w:rPr>
          <w:rFonts w:ascii="宋体" w:hAnsi="宋体" w:cs="宋体"/>
          <w:b/>
          <w:bCs/>
        </w:rPr>
        <w:t>9、现金及现金等价物的确定标准</w:t>
      </w:r>
      <w:bookmarkEnd w:id="25"/>
    </w:p>
    <w:p w:rsidR="00BE788E" w:rsidRPr="00AC0334" w:rsidRDefault="00BE788E" w:rsidP="00AC0334">
      <w:pPr>
        <w:pStyle w:val="a3"/>
        <w:spacing w:before="0" w:beforeAutospacing="0" w:after="0" w:afterAutospacing="0"/>
        <w:ind w:firstLine="420"/>
        <w:jc w:val="both"/>
        <w:divId w:val="1673986698"/>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在编制现金流量表时，将本公司库存现金以及可以随时用于支付的存款确认为现金。将同时具备期限短（一般从购买日起三个月内到期）、流动性强、易于转换为已知金额的现金、价值变动风险很小四个条件的投资，确定为现金等价物。</w:t>
      </w:r>
    </w:p>
    <w:p w:rsidR="00037019" w:rsidRDefault="00BE788E">
      <w:pPr>
        <w:pStyle w:val="3"/>
        <w:spacing w:line="280" w:lineRule="exact"/>
        <w:jc w:val="left"/>
        <w:rPr>
          <w:rFonts w:ascii="宋体" w:hAnsi="宋体" w:cs="宋体"/>
          <w:b/>
          <w:bCs/>
        </w:rPr>
      </w:pPr>
      <w:bookmarkStart w:id="26" w:name="_Toc989016"/>
      <w:r>
        <w:rPr>
          <w:rFonts w:ascii="宋体" w:hAnsi="宋体" w:cs="宋体"/>
          <w:b/>
          <w:bCs/>
        </w:rPr>
        <w:t>10、外币业务和外币报表折算</w:t>
      </w:r>
      <w:bookmarkEnd w:id="26"/>
    </w:p>
    <w:p w:rsidR="00BE788E" w:rsidRDefault="00BE788E">
      <w:pPr>
        <w:widowControl/>
        <w:numPr>
          <w:ilvl w:val="0"/>
          <w:numId w:val="16"/>
        </w:numPr>
        <w:spacing w:before="100" w:beforeAutospacing="1" w:after="100" w:afterAutospacing="1"/>
        <w:divId w:val="265505386"/>
        <w:rPr>
          <w:sz w:val="18"/>
          <w:szCs w:val="18"/>
        </w:rPr>
      </w:pPr>
      <w:r>
        <w:rPr>
          <w:rFonts w:ascii="Times New Roman" w:hAnsi="Times New Roman" w:cs="Times New Roman"/>
          <w:sz w:val="18"/>
          <w:szCs w:val="18"/>
        </w:rPr>
        <w:t> </w:t>
      </w:r>
      <w:r>
        <w:rPr>
          <w:rFonts w:hint="eastAsia"/>
          <w:sz w:val="18"/>
          <w:szCs w:val="18"/>
        </w:rPr>
        <w:t>外币业务</w:t>
      </w:r>
    </w:p>
    <w:p w:rsidR="00BE788E" w:rsidRPr="00AC0334" w:rsidRDefault="00BE788E" w:rsidP="00AC0334">
      <w:pPr>
        <w:pStyle w:val="a3"/>
        <w:spacing w:before="0" w:beforeAutospacing="0" w:after="0" w:afterAutospacing="0"/>
        <w:ind w:firstLine="420"/>
        <w:jc w:val="both"/>
        <w:divId w:val="265505386"/>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外币业务交易在初始确认时，采用交易发生日的即期汇率作为折算汇率折合成人民币记账。</w:t>
      </w:r>
    </w:p>
    <w:p w:rsidR="00BE788E" w:rsidRPr="00AC0334" w:rsidRDefault="00BE788E" w:rsidP="00AC0334">
      <w:pPr>
        <w:pStyle w:val="a3"/>
        <w:spacing w:before="0" w:beforeAutospacing="0" w:after="0" w:afterAutospacing="0"/>
        <w:ind w:firstLine="420"/>
        <w:jc w:val="both"/>
        <w:divId w:val="265505386"/>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资产负债表日，外币货币性项目按资产负债表日即期汇率折算，由此产生的汇兑差额，除属于与购建符合资本化条件的资产相关的外币专门借款产生的汇兑差额按照借款费用资本化的原则处理外，均计入当期损益。以历史成本计量的外币非货币性项目，仍采用交易发生日的即期汇率折算，不改变其记账本位币金额。</w:t>
      </w:r>
    </w:p>
    <w:p w:rsidR="00BE788E" w:rsidRPr="00AC0334" w:rsidRDefault="00BE788E" w:rsidP="00AC0334">
      <w:pPr>
        <w:pStyle w:val="a3"/>
        <w:spacing w:before="0" w:beforeAutospacing="0" w:after="0" w:afterAutospacing="0"/>
        <w:ind w:firstLine="420"/>
        <w:jc w:val="both"/>
        <w:divId w:val="265505386"/>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以公允价值计量的外币非货币性项目，采用公允价值确定日的即期汇率折算，折算后的记账本位</w:t>
      </w:r>
      <w:proofErr w:type="gramStart"/>
      <w:r w:rsidRPr="00AC0334">
        <w:rPr>
          <w:rFonts w:asciiTheme="minorEastAsia" w:eastAsiaTheme="minorEastAsia" w:hAnsiTheme="minorEastAsia" w:hint="eastAsia"/>
          <w:sz w:val="18"/>
          <w:szCs w:val="18"/>
        </w:rPr>
        <w:t>币金额</w:t>
      </w:r>
      <w:proofErr w:type="gramEnd"/>
      <w:r w:rsidRPr="00AC0334">
        <w:rPr>
          <w:rFonts w:asciiTheme="minorEastAsia" w:eastAsiaTheme="minorEastAsia" w:hAnsiTheme="minorEastAsia" w:hint="eastAsia"/>
          <w:sz w:val="18"/>
          <w:szCs w:val="18"/>
        </w:rPr>
        <w:t>与原记账本位</w:t>
      </w:r>
      <w:proofErr w:type="gramStart"/>
      <w:r w:rsidRPr="00AC0334">
        <w:rPr>
          <w:rFonts w:asciiTheme="minorEastAsia" w:eastAsiaTheme="minorEastAsia" w:hAnsiTheme="minorEastAsia" w:hint="eastAsia"/>
          <w:sz w:val="18"/>
          <w:szCs w:val="18"/>
        </w:rPr>
        <w:t>币金额</w:t>
      </w:r>
      <w:proofErr w:type="gramEnd"/>
      <w:r w:rsidRPr="00AC0334">
        <w:rPr>
          <w:rFonts w:asciiTheme="minorEastAsia" w:eastAsiaTheme="minorEastAsia" w:hAnsiTheme="minorEastAsia" w:hint="eastAsia"/>
          <w:sz w:val="18"/>
          <w:szCs w:val="18"/>
        </w:rPr>
        <w:t>的差额，作为公允价值变动</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含汇率变动</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处理，计入当期损益或确认为其他综合收益。</w:t>
      </w:r>
    </w:p>
    <w:p w:rsidR="00BE788E" w:rsidRDefault="00BE788E">
      <w:pPr>
        <w:widowControl/>
        <w:numPr>
          <w:ilvl w:val="0"/>
          <w:numId w:val="17"/>
        </w:numPr>
        <w:spacing w:before="100" w:beforeAutospacing="1" w:after="100" w:afterAutospacing="1"/>
        <w:divId w:val="265505386"/>
        <w:rPr>
          <w:sz w:val="18"/>
          <w:szCs w:val="18"/>
        </w:rPr>
      </w:pPr>
      <w:r>
        <w:rPr>
          <w:rFonts w:ascii="Times New Roman" w:hAnsi="Times New Roman" w:cs="Times New Roman"/>
          <w:sz w:val="18"/>
          <w:szCs w:val="18"/>
        </w:rPr>
        <w:t xml:space="preserve">  </w:t>
      </w:r>
      <w:r>
        <w:rPr>
          <w:rFonts w:hint="eastAsia"/>
          <w:sz w:val="18"/>
          <w:szCs w:val="18"/>
        </w:rPr>
        <w:t>外币财务报表的折算</w:t>
      </w:r>
    </w:p>
    <w:p w:rsidR="00BE788E" w:rsidRPr="00AC0334" w:rsidRDefault="00BE788E" w:rsidP="00AC0334">
      <w:pPr>
        <w:pStyle w:val="a3"/>
        <w:spacing w:before="0" w:beforeAutospacing="0" w:after="0" w:afterAutospacing="0"/>
        <w:ind w:firstLine="420"/>
        <w:jc w:val="both"/>
        <w:divId w:val="265505386"/>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资产负债表中的资产和负债项目，采用资产负债表日的即期汇率折算；所有者权益项目除</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未分配利润</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项目外，其他项目采用发生时的即期汇率折算。利润表中的收入和费用项目，采用加权平均汇率折算。按照上述折算产生的外币财务报表折算差额计入其他综合收益。</w:t>
      </w:r>
    </w:p>
    <w:p w:rsidR="00BE788E" w:rsidRPr="00AC0334" w:rsidRDefault="00BE788E" w:rsidP="00AC0334">
      <w:pPr>
        <w:pStyle w:val="a3"/>
        <w:spacing w:before="0" w:beforeAutospacing="0" w:after="0" w:afterAutospacing="0"/>
        <w:ind w:firstLine="420"/>
        <w:jc w:val="both"/>
        <w:divId w:val="265505386"/>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处置境外经营时，将资产负债表中其他综合收益项目中列示的、与该境外经营相关的外币财务报表折算差额，自其他综合收益项目转入处置当期损益；在处置部分股权投资或其他原因导致持有境外经营权益比例降低但不丧失对境外经营控制权时，与该境外经营处置部分相关的外币报表折算差额将归属于少数股东权益，不转入当期损益。在处置境外经营为联营企业或合营企业的部分股权时，与该境外经营相关的外币报表折算差额，按处置该境外经营的比例转入处置当期损益。</w:t>
      </w:r>
    </w:p>
    <w:p w:rsidR="00037019" w:rsidRDefault="00BE788E">
      <w:pPr>
        <w:pStyle w:val="3"/>
        <w:spacing w:line="280" w:lineRule="exact"/>
        <w:jc w:val="left"/>
        <w:rPr>
          <w:rFonts w:ascii="宋体" w:hAnsi="宋体" w:cs="宋体"/>
          <w:b/>
          <w:bCs/>
        </w:rPr>
      </w:pPr>
      <w:bookmarkStart w:id="27" w:name="_Toc989017"/>
      <w:r>
        <w:rPr>
          <w:rFonts w:ascii="宋体" w:hAnsi="宋体" w:cs="宋体"/>
          <w:b/>
          <w:bCs/>
        </w:rPr>
        <w:t>11、金融工具</w:t>
      </w:r>
      <w:bookmarkEnd w:id="27"/>
    </w:p>
    <w:p w:rsidR="00BE788E" w:rsidRPr="00AC0334" w:rsidRDefault="00BE788E" w:rsidP="00AC0334">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本公司在成为金融工具合同的一方时确认一项金融资产或金融负债。</w:t>
      </w:r>
    </w:p>
    <w:p w:rsidR="00BE788E" w:rsidRPr="00AC0334" w:rsidRDefault="00BE788E" w:rsidP="00AC0334">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实际利率法是指计算金融资产或金融负债的摊</w:t>
      </w:r>
      <w:proofErr w:type="gramStart"/>
      <w:r w:rsidRPr="00AC0334">
        <w:rPr>
          <w:rFonts w:asciiTheme="minorEastAsia" w:eastAsiaTheme="minorEastAsia" w:hAnsiTheme="minorEastAsia" w:hint="eastAsia"/>
          <w:sz w:val="18"/>
          <w:szCs w:val="18"/>
        </w:rPr>
        <w:t>余成本</w:t>
      </w:r>
      <w:proofErr w:type="gramEnd"/>
      <w:r w:rsidRPr="00AC0334">
        <w:rPr>
          <w:rFonts w:asciiTheme="minorEastAsia" w:eastAsiaTheme="minorEastAsia" w:hAnsiTheme="minorEastAsia" w:hint="eastAsia"/>
          <w:sz w:val="18"/>
          <w:szCs w:val="18"/>
        </w:rPr>
        <w:t>以及将利息收入或利息费用分摊计入各会计期间的方法。</w:t>
      </w:r>
    </w:p>
    <w:p w:rsidR="00BE788E" w:rsidRPr="00AC0334" w:rsidRDefault="00BE788E" w:rsidP="00AC0334">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实际利率，是指将金融资产或金融负债在预计存续期的估计未来现金流量，折现为该金融资产账面余额或该金融负债摊</w:t>
      </w:r>
      <w:proofErr w:type="gramStart"/>
      <w:r w:rsidRPr="00AC0334">
        <w:rPr>
          <w:rFonts w:asciiTheme="minorEastAsia" w:eastAsiaTheme="minorEastAsia" w:hAnsiTheme="minorEastAsia" w:hint="eastAsia"/>
          <w:sz w:val="18"/>
          <w:szCs w:val="18"/>
        </w:rPr>
        <w:t>余成本</w:t>
      </w:r>
      <w:proofErr w:type="gramEnd"/>
      <w:r w:rsidRPr="00AC0334">
        <w:rPr>
          <w:rFonts w:asciiTheme="minorEastAsia" w:eastAsiaTheme="minorEastAsia" w:hAnsiTheme="minorEastAsia" w:hint="eastAsia"/>
          <w:sz w:val="18"/>
          <w:szCs w:val="18"/>
        </w:rPr>
        <w:t>所使用的利率。在确定实际利率时，在考虑金融资产或金融负债所有合同条款</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如提前还款、展期、看涨期权或其他类似期权等</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的基础上估计预期现金流量，但不考虑预期信用损失。</w:t>
      </w:r>
    </w:p>
    <w:p w:rsidR="00BE788E" w:rsidRPr="00AC0334" w:rsidRDefault="00BE788E" w:rsidP="00AC0334">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金融资产或金融负债的摊</w:t>
      </w:r>
      <w:proofErr w:type="gramStart"/>
      <w:r w:rsidRPr="00AC0334">
        <w:rPr>
          <w:rFonts w:asciiTheme="minorEastAsia" w:eastAsiaTheme="minorEastAsia" w:hAnsiTheme="minorEastAsia" w:hint="eastAsia"/>
          <w:sz w:val="18"/>
          <w:szCs w:val="18"/>
        </w:rPr>
        <w:t>余成本</w:t>
      </w:r>
      <w:proofErr w:type="gramEnd"/>
      <w:r w:rsidRPr="00AC0334">
        <w:rPr>
          <w:rFonts w:asciiTheme="minorEastAsia" w:eastAsiaTheme="minorEastAsia" w:hAnsiTheme="minorEastAsia" w:hint="eastAsia"/>
          <w:sz w:val="18"/>
          <w:szCs w:val="18"/>
        </w:rPr>
        <w:t>是以该金融资产或金融负债的初始确认金额扣除已偿还的本金，加上或减去采用实际利率法将该初始确认金额与到期</w:t>
      </w:r>
      <w:proofErr w:type="gramStart"/>
      <w:r w:rsidRPr="00AC0334">
        <w:rPr>
          <w:rFonts w:asciiTheme="minorEastAsia" w:eastAsiaTheme="minorEastAsia" w:hAnsiTheme="minorEastAsia" w:hint="eastAsia"/>
          <w:sz w:val="18"/>
          <w:szCs w:val="18"/>
        </w:rPr>
        <w:t>日金额</w:t>
      </w:r>
      <w:proofErr w:type="gramEnd"/>
      <w:r w:rsidRPr="00AC0334">
        <w:rPr>
          <w:rFonts w:asciiTheme="minorEastAsia" w:eastAsiaTheme="minorEastAsia" w:hAnsiTheme="minorEastAsia" w:hint="eastAsia"/>
          <w:sz w:val="18"/>
          <w:szCs w:val="18"/>
        </w:rPr>
        <w:t>之间的差额进行摊销形成的累计摊销额，再扣除累计计提的损失准备</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仅适用于金融资产</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w:t>
      </w:r>
    </w:p>
    <w:p w:rsidR="00BE788E" w:rsidRDefault="00BE788E">
      <w:pPr>
        <w:widowControl/>
        <w:numPr>
          <w:ilvl w:val="0"/>
          <w:numId w:val="18"/>
        </w:numPr>
        <w:spacing w:before="100" w:beforeAutospacing="1" w:after="100" w:afterAutospacing="1"/>
        <w:divId w:val="116679010"/>
        <w:rPr>
          <w:sz w:val="18"/>
          <w:szCs w:val="18"/>
        </w:rPr>
      </w:pPr>
      <w:r>
        <w:rPr>
          <w:rFonts w:hint="eastAsia"/>
          <w:sz w:val="18"/>
          <w:szCs w:val="18"/>
        </w:rPr>
        <w:lastRenderedPageBreak/>
        <w:t>金融资产的分类、确认和计量</w:t>
      </w:r>
    </w:p>
    <w:p w:rsidR="00BE788E" w:rsidRPr="00AC0334" w:rsidRDefault="00BE788E" w:rsidP="00B362E5">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本公司根据所管理金融资产的业务模式和金融资产的合同现金流量特征，将金融资产划分为以下三类：</w:t>
      </w:r>
    </w:p>
    <w:p w:rsidR="00BE788E" w:rsidRDefault="00BE788E" w:rsidP="00B362E5">
      <w:pPr>
        <w:widowControl/>
        <w:numPr>
          <w:ilvl w:val="1"/>
          <w:numId w:val="19"/>
        </w:numPr>
        <w:spacing w:before="100" w:beforeAutospacing="1" w:after="100" w:afterAutospacing="1"/>
        <w:divId w:val="116679010"/>
        <w:rPr>
          <w:sz w:val="18"/>
          <w:szCs w:val="18"/>
        </w:rPr>
      </w:pPr>
      <w:r>
        <w:rPr>
          <w:rFonts w:hint="eastAsia"/>
          <w:sz w:val="18"/>
          <w:szCs w:val="18"/>
        </w:rPr>
        <w:t>以摊</w:t>
      </w:r>
      <w:proofErr w:type="gramStart"/>
      <w:r>
        <w:rPr>
          <w:rFonts w:hint="eastAsia"/>
          <w:sz w:val="18"/>
          <w:szCs w:val="18"/>
        </w:rPr>
        <w:t>余成本</w:t>
      </w:r>
      <w:proofErr w:type="gramEnd"/>
      <w:r>
        <w:rPr>
          <w:rFonts w:hint="eastAsia"/>
          <w:sz w:val="18"/>
          <w:szCs w:val="18"/>
        </w:rPr>
        <w:t>计量的金融资产。</w:t>
      </w:r>
    </w:p>
    <w:p w:rsidR="00BE788E" w:rsidRDefault="00BE788E" w:rsidP="00B362E5">
      <w:pPr>
        <w:widowControl/>
        <w:numPr>
          <w:ilvl w:val="1"/>
          <w:numId w:val="19"/>
        </w:numPr>
        <w:spacing w:before="100" w:beforeAutospacing="1" w:after="100" w:afterAutospacing="1"/>
        <w:divId w:val="116679010"/>
        <w:rPr>
          <w:sz w:val="18"/>
          <w:szCs w:val="18"/>
        </w:rPr>
      </w:pPr>
      <w:r>
        <w:rPr>
          <w:rFonts w:hint="eastAsia"/>
          <w:sz w:val="18"/>
          <w:szCs w:val="18"/>
        </w:rPr>
        <w:t>以公允价值计量且其变动计入其他综合收益的金融资产。</w:t>
      </w:r>
    </w:p>
    <w:p w:rsidR="00BE788E" w:rsidRDefault="00BE788E" w:rsidP="00B362E5">
      <w:pPr>
        <w:widowControl/>
        <w:numPr>
          <w:ilvl w:val="1"/>
          <w:numId w:val="19"/>
        </w:numPr>
        <w:spacing w:before="100" w:beforeAutospacing="1" w:after="100" w:afterAutospacing="1"/>
        <w:divId w:val="116679010"/>
        <w:rPr>
          <w:sz w:val="18"/>
          <w:szCs w:val="18"/>
        </w:rPr>
      </w:pPr>
      <w:r>
        <w:rPr>
          <w:rFonts w:hint="eastAsia"/>
          <w:sz w:val="18"/>
          <w:szCs w:val="18"/>
        </w:rPr>
        <w:t>以公允价值计量且其变动计入当期损益的金融资产。</w:t>
      </w:r>
    </w:p>
    <w:p w:rsidR="00BE788E" w:rsidRPr="00AC0334" w:rsidRDefault="00BE788E" w:rsidP="00B362E5">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金融资产在初始确认时以公允价值计量，但是因销售商品或提供服务等产生的应收账款或应收票据未包含重大融资成分或不考虑不超过一年的融资成分的，按照交易价格进行初始计量。</w:t>
      </w:r>
    </w:p>
    <w:p w:rsidR="00BE788E" w:rsidRPr="00AC0334" w:rsidRDefault="00BE788E" w:rsidP="00B362E5">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对于以公允价值计量且其变动计入当期损益的金融资产，相关交易费用直接计入当期损益，其他类别的金融资产相关交易费用计入其初始确认金额。</w:t>
      </w:r>
    </w:p>
    <w:p w:rsidR="00BE788E" w:rsidRPr="00AC0334" w:rsidRDefault="00BE788E" w:rsidP="00B362E5">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金融资产的后续计量取决于其分类，当且仅当本公司改变管理金融资产的业务模式时，才对所有受影响的相关金融资产进行重分类。</w:t>
      </w:r>
    </w:p>
    <w:p w:rsidR="00BE788E" w:rsidRDefault="00BE788E" w:rsidP="00B362E5">
      <w:pPr>
        <w:widowControl/>
        <w:numPr>
          <w:ilvl w:val="0"/>
          <w:numId w:val="20"/>
        </w:numPr>
        <w:spacing w:before="100" w:beforeAutospacing="1" w:after="100" w:afterAutospacing="1"/>
        <w:divId w:val="116679010"/>
        <w:rPr>
          <w:sz w:val="18"/>
          <w:szCs w:val="18"/>
        </w:rPr>
      </w:pPr>
      <w:r>
        <w:rPr>
          <w:rFonts w:hint="eastAsia"/>
          <w:sz w:val="18"/>
          <w:szCs w:val="18"/>
        </w:rPr>
        <w:t>分类为以摊</w:t>
      </w:r>
      <w:proofErr w:type="gramStart"/>
      <w:r>
        <w:rPr>
          <w:rFonts w:hint="eastAsia"/>
          <w:sz w:val="18"/>
          <w:szCs w:val="18"/>
        </w:rPr>
        <w:t>余成本</w:t>
      </w:r>
      <w:proofErr w:type="gramEnd"/>
      <w:r>
        <w:rPr>
          <w:rFonts w:hint="eastAsia"/>
          <w:sz w:val="18"/>
          <w:szCs w:val="18"/>
        </w:rPr>
        <w:t>计量的金融资产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金融资产的合同条款规定在特定日期产生的现金流量仅为对本金和以</w:t>
      </w:r>
      <w:proofErr w:type="gramStart"/>
      <w:r>
        <w:rPr>
          <w:rFonts w:hint="eastAsia"/>
          <w:sz w:val="18"/>
          <w:szCs w:val="18"/>
        </w:rPr>
        <w:t>未偿付本</w:t>
      </w:r>
      <w:proofErr w:type="gramEnd"/>
      <w:r>
        <w:rPr>
          <w:rFonts w:hint="eastAsia"/>
          <w:sz w:val="18"/>
          <w:szCs w:val="18"/>
        </w:rPr>
        <w:t>金金额为基础的利息的支付，且管理该金融资产的业务模式是以收取合同现金流量为目标，则本公司将该金融资产分类为以摊</w:t>
      </w:r>
      <w:proofErr w:type="gramStart"/>
      <w:r>
        <w:rPr>
          <w:rFonts w:hint="eastAsia"/>
          <w:sz w:val="18"/>
          <w:szCs w:val="18"/>
        </w:rPr>
        <w:t>余成本</w:t>
      </w:r>
      <w:proofErr w:type="gramEnd"/>
      <w:r>
        <w:rPr>
          <w:rFonts w:hint="eastAsia"/>
          <w:sz w:val="18"/>
          <w:szCs w:val="18"/>
        </w:rPr>
        <w:t>计量的金融资产。本公司分类为以摊</w:t>
      </w:r>
      <w:proofErr w:type="gramStart"/>
      <w:r>
        <w:rPr>
          <w:rFonts w:hint="eastAsia"/>
          <w:sz w:val="18"/>
          <w:szCs w:val="18"/>
        </w:rPr>
        <w:t>余成本</w:t>
      </w:r>
      <w:proofErr w:type="gramEnd"/>
      <w:r>
        <w:rPr>
          <w:rFonts w:hint="eastAsia"/>
          <w:sz w:val="18"/>
          <w:szCs w:val="18"/>
        </w:rPr>
        <w:t>计量的金融资产包括货币资金、应收票据、应收账款、其他应收款、长期应收款等。</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本公司对此类金融资产采用实际利率法确认利息收入，</w:t>
      </w:r>
      <w:proofErr w:type="gramStart"/>
      <w:r>
        <w:rPr>
          <w:rFonts w:hint="eastAsia"/>
          <w:sz w:val="18"/>
          <w:szCs w:val="18"/>
        </w:rPr>
        <w:t>按摊余成本</w:t>
      </w:r>
      <w:proofErr w:type="gramEnd"/>
      <w:r>
        <w:rPr>
          <w:rFonts w:hint="eastAsia"/>
          <w:sz w:val="18"/>
          <w:szCs w:val="18"/>
        </w:rPr>
        <w:t>进行后续计量，其发生减值时或终止确认、修改产生的利得或损失，计入当期损益。除下列情况外，本公司根据金融资产账面余额乘以实际利率计算确定利息收入：</w:t>
      </w:r>
    </w:p>
    <w:p w:rsidR="00BE788E" w:rsidRDefault="00BE788E" w:rsidP="00B362E5">
      <w:pPr>
        <w:pStyle w:val="a3"/>
        <w:spacing w:before="0" w:beforeAutospacing="0" w:after="0" w:afterAutospacing="0"/>
        <w:ind w:firstLine="420"/>
        <w:jc w:val="both"/>
        <w:divId w:val="116679010"/>
        <w:rPr>
          <w:sz w:val="21"/>
          <w:szCs w:val="21"/>
        </w:rPr>
      </w:pPr>
      <w:r>
        <w:rPr>
          <w:rFonts w:ascii="Times New Roman" w:hAnsi="Times New Roman" w:cs="Times New Roman"/>
          <w:sz w:val="18"/>
          <w:szCs w:val="18"/>
        </w:rPr>
        <w:t>1</w:t>
      </w:r>
      <w:r>
        <w:rPr>
          <w:rFonts w:hint="eastAsia"/>
          <w:sz w:val="18"/>
          <w:szCs w:val="18"/>
        </w:rPr>
        <w:t>）对于</w:t>
      </w:r>
      <w:proofErr w:type="gramStart"/>
      <w:r>
        <w:rPr>
          <w:rFonts w:hint="eastAsia"/>
          <w:sz w:val="18"/>
          <w:szCs w:val="18"/>
        </w:rPr>
        <w:t>购入或源生</w:t>
      </w:r>
      <w:proofErr w:type="gramEnd"/>
      <w:r>
        <w:rPr>
          <w:rFonts w:hint="eastAsia"/>
          <w:sz w:val="18"/>
          <w:szCs w:val="18"/>
        </w:rPr>
        <w:t>的已发生信用减值的金融资产，本公司自初始确认起，按照该金融资产的摊</w:t>
      </w:r>
      <w:proofErr w:type="gramStart"/>
      <w:r>
        <w:rPr>
          <w:rFonts w:hint="eastAsia"/>
          <w:sz w:val="18"/>
          <w:szCs w:val="18"/>
        </w:rPr>
        <w:t>余成本</w:t>
      </w:r>
      <w:proofErr w:type="gramEnd"/>
      <w:r>
        <w:rPr>
          <w:rFonts w:hint="eastAsia"/>
          <w:sz w:val="18"/>
          <w:szCs w:val="18"/>
        </w:rPr>
        <w:t>和经信用调整的实际利率计算确定其利息收入。</w:t>
      </w:r>
    </w:p>
    <w:p w:rsidR="00BE788E" w:rsidRDefault="00BE788E" w:rsidP="00B362E5">
      <w:pPr>
        <w:pStyle w:val="a3"/>
        <w:spacing w:before="0" w:beforeAutospacing="0" w:after="0" w:afterAutospacing="0"/>
        <w:ind w:firstLine="420"/>
        <w:jc w:val="both"/>
        <w:divId w:val="116679010"/>
        <w:rPr>
          <w:sz w:val="21"/>
          <w:szCs w:val="21"/>
        </w:rPr>
      </w:pPr>
      <w:r>
        <w:rPr>
          <w:rFonts w:ascii="Times New Roman" w:hAnsi="Times New Roman" w:cs="Times New Roman"/>
          <w:sz w:val="18"/>
          <w:szCs w:val="18"/>
        </w:rPr>
        <w:t>2</w:t>
      </w:r>
      <w:r>
        <w:rPr>
          <w:rFonts w:hint="eastAsia"/>
          <w:sz w:val="18"/>
          <w:szCs w:val="18"/>
        </w:rPr>
        <w:t>）</w:t>
      </w:r>
      <w:r>
        <w:rPr>
          <w:rFonts w:ascii="Times New Roman" w:hAnsi="Times New Roman" w:cs="Times New Roman"/>
          <w:sz w:val="18"/>
          <w:szCs w:val="18"/>
        </w:rPr>
        <w:t xml:space="preserve"> </w:t>
      </w:r>
      <w:r>
        <w:rPr>
          <w:rFonts w:hint="eastAsia"/>
          <w:sz w:val="18"/>
          <w:szCs w:val="18"/>
        </w:rPr>
        <w:t>对于</w:t>
      </w:r>
      <w:proofErr w:type="gramStart"/>
      <w:r>
        <w:rPr>
          <w:rFonts w:hint="eastAsia"/>
          <w:sz w:val="18"/>
          <w:szCs w:val="18"/>
        </w:rPr>
        <w:t>购入或源生</w:t>
      </w:r>
      <w:proofErr w:type="gramEnd"/>
      <w:r>
        <w:rPr>
          <w:rFonts w:hint="eastAsia"/>
          <w:sz w:val="18"/>
          <w:szCs w:val="18"/>
        </w:rPr>
        <w:t>的未发生信用减值、但在后续期间成为已发生信用减值的金融资产，本公司在后续期间，按照该金融资产的摊</w:t>
      </w:r>
      <w:proofErr w:type="gramStart"/>
      <w:r>
        <w:rPr>
          <w:rFonts w:hint="eastAsia"/>
          <w:sz w:val="18"/>
          <w:szCs w:val="18"/>
        </w:rPr>
        <w:t>余成本</w:t>
      </w:r>
      <w:proofErr w:type="gramEnd"/>
      <w:r>
        <w:rPr>
          <w:rFonts w:hint="eastAsia"/>
          <w:sz w:val="18"/>
          <w:szCs w:val="18"/>
        </w:rPr>
        <w:t>和实际利率计算确定其利息收入。若该金融工具在后续期间因其信用风险有所改善而不再存在信用减值，</w:t>
      </w:r>
      <w:proofErr w:type="gramStart"/>
      <w:r>
        <w:rPr>
          <w:rFonts w:hint="eastAsia"/>
          <w:sz w:val="18"/>
          <w:szCs w:val="18"/>
        </w:rPr>
        <w:t>本公司转按实际</w:t>
      </w:r>
      <w:proofErr w:type="gramEnd"/>
      <w:r>
        <w:rPr>
          <w:rFonts w:hint="eastAsia"/>
          <w:sz w:val="18"/>
          <w:szCs w:val="18"/>
        </w:rPr>
        <w:t>利率乘以该金融资产账面余额来计算确定利息收入。</w:t>
      </w:r>
    </w:p>
    <w:p w:rsidR="00BE788E" w:rsidRDefault="00BE788E" w:rsidP="00B362E5">
      <w:pPr>
        <w:widowControl/>
        <w:numPr>
          <w:ilvl w:val="0"/>
          <w:numId w:val="21"/>
        </w:numPr>
        <w:spacing w:before="100" w:beforeAutospacing="1" w:after="100" w:afterAutospacing="1"/>
        <w:divId w:val="116679010"/>
        <w:rPr>
          <w:sz w:val="18"/>
          <w:szCs w:val="18"/>
        </w:rPr>
      </w:pPr>
      <w:r>
        <w:rPr>
          <w:rFonts w:hint="eastAsia"/>
          <w:sz w:val="18"/>
          <w:szCs w:val="18"/>
        </w:rPr>
        <w:t>分类为以公允价值计量且其变动计入其他综合收益的金融资产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金融资产的合同条款规定在特定日期产生的现金流量仅为对本金和以</w:t>
      </w:r>
      <w:proofErr w:type="gramStart"/>
      <w:r>
        <w:rPr>
          <w:rFonts w:hint="eastAsia"/>
          <w:sz w:val="18"/>
          <w:szCs w:val="18"/>
        </w:rPr>
        <w:t>未偿付本</w:t>
      </w:r>
      <w:proofErr w:type="gramEnd"/>
      <w:r>
        <w:rPr>
          <w:rFonts w:hint="eastAsia"/>
          <w:sz w:val="18"/>
          <w:szCs w:val="18"/>
        </w:rPr>
        <w:t>金金额为基础的利息的支付，且管理该金融资产的业务模式既以收取合同现金流量为目标又以出售该金融资产为目标，则本公司将该金融资产分类为以公允价值计量且其变动计入其他综合收益的金融资产。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对此类金融资产采用实际利率法确认利息收入。除利息收入、减值损失及汇兑差额确认为当期损益外，其余公允价值变动计入其他综合收益。当该金融资产终止确认时，之前计入其他综合收益的累计利得或损失从其他综合收益中转出，计入当期损益。</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以公允价值计量且变动计入其他综合收益的应收票据及应收账款列报为应收款项融资，其他此类金融资产列报为其他债权投资，其中：自资产负债表日起一年内到期的其他债权投资列报为一年内到期的非流动资产，原到期日在一年以内的其他债权投资列报为其他流动资产。</w:t>
      </w:r>
    </w:p>
    <w:p w:rsidR="00BE788E" w:rsidRDefault="00BE788E" w:rsidP="00B362E5">
      <w:pPr>
        <w:widowControl/>
        <w:numPr>
          <w:ilvl w:val="0"/>
          <w:numId w:val="22"/>
        </w:numPr>
        <w:spacing w:before="100" w:beforeAutospacing="1" w:after="100" w:afterAutospacing="1"/>
        <w:divId w:val="116679010"/>
        <w:rPr>
          <w:sz w:val="18"/>
          <w:szCs w:val="18"/>
        </w:rPr>
      </w:pPr>
      <w:r>
        <w:rPr>
          <w:rFonts w:hint="eastAsia"/>
          <w:sz w:val="18"/>
          <w:szCs w:val="18"/>
        </w:rPr>
        <w:t>指定为以公允价值计量且其变动计入其他综合收益的金融资产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在初始确认时，本公司可以单项金融资产为基础不可撤销地将</w:t>
      </w:r>
      <w:proofErr w:type="gramStart"/>
      <w:r>
        <w:rPr>
          <w:rFonts w:hint="eastAsia"/>
          <w:sz w:val="18"/>
          <w:szCs w:val="18"/>
        </w:rPr>
        <w:t>非交易</w:t>
      </w:r>
      <w:proofErr w:type="gramEnd"/>
      <w:r>
        <w:rPr>
          <w:rFonts w:hint="eastAsia"/>
          <w:sz w:val="18"/>
          <w:szCs w:val="18"/>
        </w:rPr>
        <w:t>性权益工具投资指定为以公允价值计量且其变动计入其他综合收益的金融资产。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lastRenderedPageBreak/>
        <w:t>此类金融资产的公允价值变动计入其他综合收益，不需计提减值准备。该金融资产终止确认时，之前计入其他综合收益的累计利得或损失从其他综合收益中转出，计入留存收益。本公司持有该权益工具投资期间，在本公司收取股利的权利已经确立，与股利相关的经济利益很可能流入本公司，且股利的金额能够可靠计量时，确认股利收入并计入当期损益。本公司对此类金融资产在其他权益工具投资项目下列报。</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权益工具投资满足下列条件之一的，属于以公允价值计量且其变动计入当期损益的金融资产：取得该金融资产的目的主要是为了近期出售；初始确认时属于集中管理的可辨认金融资产工具组合的一部分，且有客观证据表明近期实际存在短期获利模式；属于衍生工具（符合财务担保合同定义的以及被指定为有效套</w:t>
      </w:r>
      <w:proofErr w:type="gramStart"/>
      <w:r>
        <w:rPr>
          <w:rFonts w:hint="eastAsia"/>
          <w:sz w:val="18"/>
          <w:szCs w:val="18"/>
        </w:rPr>
        <w:t>期工具</w:t>
      </w:r>
      <w:proofErr w:type="gramEnd"/>
      <w:r>
        <w:rPr>
          <w:rFonts w:hint="eastAsia"/>
          <w:sz w:val="18"/>
          <w:szCs w:val="18"/>
        </w:rPr>
        <w:t>的衍生工具除外）。</w:t>
      </w:r>
    </w:p>
    <w:p w:rsidR="00BE788E" w:rsidRDefault="00BE788E" w:rsidP="00B362E5">
      <w:pPr>
        <w:widowControl/>
        <w:numPr>
          <w:ilvl w:val="0"/>
          <w:numId w:val="23"/>
        </w:numPr>
        <w:spacing w:before="100" w:beforeAutospacing="1" w:after="100" w:afterAutospacing="1"/>
        <w:divId w:val="116679010"/>
        <w:rPr>
          <w:sz w:val="18"/>
          <w:szCs w:val="18"/>
        </w:rPr>
      </w:pPr>
      <w:r>
        <w:rPr>
          <w:rFonts w:hint="eastAsia"/>
          <w:sz w:val="18"/>
          <w:szCs w:val="18"/>
        </w:rPr>
        <w:t>分类为以公允价值计量且其变动计入当期损益的金融资产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不符合分类为以摊</w:t>
      </w:r>
      <w:proofErr w:type="gramStart"/>
      <w:r>
        <w:rPr>
          <w:rFonts w:hint="eastAsia"/>
          <w:sz w:val="18"/>
          <w:szCs w:val="18"/>
        </w:rPr>
        <w:t>余成本</w:t>
      </w:r>
      <w:proofErr w:type="gramEnd"/>
      <w:r>
        <w:rPr>
          <w:rFonts w:hint="eastAsia"/>
          <w:sz w:val="18"/>
          <w:szCs w:val="18"/>
        </w:rPr>
        <w:t>计量或以公允价值计量且其变动计入其他综合收益的金融资产条件、亦不指定为以公允价值计量且其变动计入其他综合收益的金融资产均分类为以公允价值计量且其变动计入当期损益的金融资产。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本公司对此类金融资产采用公允价值进行后续计量，将公允价值变动形成的利得或损失以及与此类金融资产相关的股利和利息收入计入当期损益。</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本公司对此类金融资产根据其流动性在交易性金融资产、其他非流动金融资产项目列报。</w:t>
      </w:r>
    </w:p>
    <w:p w:rsidR="00BE788E" w:rsidRDefault="00BE788E" w:rsidP="00B362E5">
      <w:pPr>
        <w:widowControl/>
        <w:numPr>
          <w:ilvl w:val="0"/>
          <w:numId w:val="24"/>
        </w:numPr>
        <w:spacing w:before="100" w:beforeAutospacing="1" w:after="100" w:afterAutospacing="1"/>
        <w:divId w:val="116679010"/>
        <w:rPr>
          <w:sz w:val="18"/>
          <w:szCs w:val="18"/>
        </w:rPr>
      </w:pPr>
      <w:r>
        <w:rPr>
          <w:rFonts w:hint="eastAsia"/>
          <w:sz w:val="18"/>
          <w:szCs w:val="18"/>
        </w:rPr>
        <w:t>指定为以公允价值计量且其变动计入当期损益的金融资产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在初始确认时，本公司为了消除或显著减少会计错配，可以单项金融资产为基础不可撤销地将金融资产指定为以公允价值计量且其变动计入当期损益的金融资产。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混合合同包含一项或多项嵌入衍生工具，且其主合同不属于以上金融资产的，本公司可以将其整体指定为以公允价值计量且其变动计入当期损益的金融工具。但下列情况除外：</w:t>
      </w:r>
      <w:r>
        <w:rPr>
          <w:rFonts w:ascii="Times New Roman" w:hAnsi="Times New Roman" w:cs="Times New Roman"/>
          <w:sz w:val="18"/>
          <w:szCs w:val="18"/>
        </w:rPr>
        <w:t xml:space="preserve"> </w:t>
      </w:r>
    </w:p>
    <w:p w:rsidR="00BE788E" w:rsidRDefault="00BE788E" w:rsidP="00B362E5">
      <w:pPr>
        <w:widowControl/>
        <w:numPr>
          <w:ilvl w:val="0"/>
          <w:numId w:val="25"/>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嵌入衍生工具不会对混合合同的现金流量产生重大改变。</w:t>
      </w:r>
    </w:p>
    <w:p w:rsidR="00BE788E" w:rsidRDefault="00BE788E" w:rsidP="00B362E5">
      <w:pPr>
        <w:widowControl/>
        <w:numPr>
          <w:ilvl w:val="0"/>
          <w:numId w:val="25"/>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在初次确定类似的混合合同是否需要分拆时，几乎不需分析就能明确其包含的嵌入衍生工具不应分拆。如嵌入贷款的提前还款权，允许持有人以接近摊</w:t>
      </w:r>
      <w:proofErr w:type="gramStart"/>
      <w:r>
        <w:rPr>
          <w:rFonts w:hint="eastAsia"/>
          <w:sz w:val="18"/>
          <w:szCs w:val="18"/>
        </w:rPr>
        <w:t>余成本</w:t>
      </w:r>
      <w:proofErr w:type="gramEnd"/>
      <w:r>
        <w:rPr>
          <w:rFonts w:hint="eastAsia"/>
          <w:sz w:val="18"/>
          <w:szCs w:val="18"/>
        </w:rPr>
        <w:t>的金额提前偿还贷款，该提前还款权不需要分拆。</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本公司对此类金融资产采用公允价值进行后续计量，将公允价值变动形成的利得或损失以及与此类金融资产相关的股利和利息收入计入当期损益。</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本公司对此类金融资产根据其流动性在交易性金融资产、其他非流动金融资产项目列报。</w:t>
      </w:r>
    </w:p>
    <w:p w:rsidR="00BE788E" w:rsidRDefault="00BE788E" w:rsidP="00B362E5">
      <w:pPr>
        <w:widowControl/>
        <w:numPr>
          <w:ilvl w:val="0"/>
          <w:numId w:val="26"/>
        </w:numPr>
        <w:spacing w:before="100" w:beforeAutospacing="1" w:after="100" w:afterAutospacing="1"/>
        <w:divId w:val="116679010"/>
        <w:rPr>
          <w:sz w:val="18"/>
          <w:szCs w:val="18"/>
        </w:rPr>
      </w:pPr>
      <w:r>
        <w:rPr>
          <w:rFonts w:hint="eastAsia"/>
          <w:sz w:val="18"/>
          <w:szCs w:val="18"/>
        </w:rPr>
        <w:t>金融负债的分类、确认和计量</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根据所发行金融工具的合同条款及其所反映的经济实质而非仅以法律形式，结合金融负债和权益工具的定义，在初始确认时将该金融工具或其组成部分分类为金融负债或权益工具。金融负债在初始确认时分类为：以公允价值计量且其变动计入当期损益的金融负债、其他金融负债、被指定为有效套</w:t>
      </w:r>
      <w:proofErr w:type="gramStart"/>
      <w:r>
        <w:rPr>
          <w:rFonts w:hint="eastAsia"/>
          <w:sz w:val="18"/>
          <w:szCs w:val="18"/>
        </w:rPr>
        <w:t>期工具</w:t>
      </w:r>
      <w:proofErr w:type="gramEnd"/>
      <w:r>
        <w:rPr>
          <w:rFonts w:hint="eastAsia"/>
          <w:sz w:val="18"/>
          <w:szCs w:val="18"/>
        </w:rPr>
        <w:t>的衍生工具。</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金融负债在初始确认时以公允价值计量。对于以公允价值计量且其变动计入当期损益的金融负债，相关的交易费用直接计入当期损益；对于其他类别的金融负债，相关交易费用计入初始确认金额。</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金融负债的后续计量取决于其分类：</w:t>
      </w:r>
    </w:p>
    <w:p w:rsidR="00BE788E" w:rsidRDefault="00BE788E" w:rsidP="00B362E5">
      <w:pPr>
        <w:widowControl/>
        <w:numPr>
          <w:ilvl w:val="0"/>
          <w:numId w:val="27"/>
        </w:numPr>
        <w:spacing w:before="100" w:beforeAutospacing="1" w:after="100" w:afterAutospacing="1"/>
        <w:divId w:val="116679010"/>
        <w:rPr>
          <w:sz w:val="18"/>
          <w:szCs w:val="18"/>
        </w:rPr>
      </w:pPr>
      <w:r>
        <w:rPr>
          <w:rFonts w:hint="eastAsia"/>
          <w:sz w:val="18"/>
          <w:szCs w:val="18"/>
        </w:rPr>
        <w:t>以公允价值计量且其变动计入当期损益的金融负债</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此类金融负债包括交易性金融负债（</w:t>
      </w:r>
      <w:proofErr w:type="gramStart"/>
      <w:r>
        <w:rPr>
          <w:rFonts w:hint="eastAsia"/>
          <w:sz w:val="18"/>
          <w:szCs w:val="18"/>
        </w:rPr>
        <w:t>含属于</w:t>
      </w:r>
      <w:proofErr w:type="gramEnd"/>
      <w:r>
        <w:rPr>
          <w:rFonts w:hint="eastAsia"/>
          <w:sz w:val="18"/>
          <w:szCs w:val="18"/>
        </w:rPr>
        <w:t>金融负债的衍生工具）和初始确认时指定为以公允价值计量且其变动计入当期损益的金融负债。</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lastRenderedPageBreak/>
        <w:t>满足下列条件之一的，属于交易性金融负债：承担相关金融负债的目的主要是为了在近期内出售或回购；属于集中管理的可辨认金融工具组合的一部分，且有客观证据表明企业近期采用短期获利方式模式；属于衍生工具，但是，被指定且为有效套</w:t>
      </w:r>
      <w:proofErr w:type="gramStart"/>
      <w:r>
        <w:rPr>
          <w:rFonts w:hint="eastAsia"/>
          <w:sz w:val="18"/>
          <w:szCs w:val="18"/>
        </w:rPr>
        <w:t>期工具</w:t>
      </w:r>
      <w:proofErr w:type="gramEnd"/>
      <w:r>
        <w:rPr>
          <w:rFonts w:hint="eastAsia"/>
          <w:sz w:val="18"/>
          <w:szCs w:val="18"/>
        </w:rPr>
        <w:t>的衍生工具、符合财务担保合同的衍生工具除外。交易性金融负债（</w:t>
      </w:r>
      <w:proofErr w:type="gramStart"/>
      <w:r>
        <w:rPr>
          <w:rFonts w:hint="eastAsia"/>
          <w:sz w:val="18"/>
          <w:szCs w:val="18"/>
        </w:rPr>
        <w:t>含属于</w:t>
      </w:r>
      <w:proofErr w:type="gramEnd"/>
      <w:r>
        <w:rPr>
          <w:rFonts w:hint="eastAsia"/>
          <w:sz w:val="18"/>
          <w:szCs w:val="18"/>
        </w:rPr>
        <w:t>金融负债的衍生工具），按照公允价值进行后续计量，除与套期会计有关外，所有公允价值变动均计入当期损益。</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在初始确认时，为了提供更相关的会计信息，本公司将满足下列条件之一的金融负债不可撤销地指定为以公允价值计量且其变动计入当期损益的金融负债：</w:t>
      </w:r>
    </w:p>
    <w:p w:rsidR="00BE788E" w:rsidRDefault="00BE788E" w:rsidP="00B362E5">
      <w:pPr>
        <w:widowControl/>
        <w:numPr>
          <w:ilvl w:val="0"/>
          <w:numId w:val="28"/>
        </w:numPr>
        <w:spacing w:before="100" w:beforeAutospacing="1" w:after="100" w:afterAutospacing="1"/>
        <w:divId w:val="116679010"/>
        <w:rPr>
          <w:sz w:val="18"/>
          <w:szCs w:val="18"/>
        </w:rPr>
      </w:pPr>
      <w:r>
        <w:rPr>
          <w:rFonts w:hint="eastAsia"/>
          <w:sz w:val="18"/>
          <w:szCs w:val="18"/>
        </w:rPr>
        <w:t>）能够消除或显著减少会计错配。</w:t>
      </w:r>
    </w:p>
    <w:p w:rsidR="00BE788E" w:rsidRDefault="00BE788E" w:rsidP="00B362E5">
      <w:pPr>
        <w:widowControl/>
        <w:numPr>
          <w:ilvl w:val="0"/>
          <w:numId w:val="28"/>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根据正式书面文件载明的企业风险管理或投资策略，以公允价值为基础对金融负债组合或金融资产和金融负债组合进行管理和业绩评价，并在企业内部以此为基础向关键管理人员报告。</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对此类金融负债采用公允价值进行后续计量，除由本公司自身信用风险变动引起的公允价值变动计入其他综合收益之外，其他公允价值变动计入当期损益。除非由本公司自身信用风险变动引起的公允价值变动计入其他综合收益会造成或扩大损益中的会计错配，本公司将所有公允价值变动（包括自身信用风险变动的影响金额）计入当期损益。</w:t>
      </w:r>
    </w:p>
    <w:p w:rsidR="00BE788E" w:rsidRDefault="00BE788E" w:rsidP="00B362E5">
      <w:pPr>
        <w:widowControl/>
        <w:numPr>
          <w:ilvl w:val="0"/>
          <w:numId w:val="29"/>
        </w:numPr>
        <w:spacing w:before="100" w:beforeAutospacing="1" w:after="100" w:afterAutospacing="1"/>
        <w:divId w:val="116679010"/>
        <w:rPr>
          <w:sz w:val="18"/>
          <w:szCs w:val="18"/>
        </w:rPr>
      </w:pPr>
      <w:r>
        <w:rPr>
          <w:rFonts w:hint="eastAsia"/>
          <w:sz w:val="18"/>
          <w:szCs w:val="18"/>
        </w:rPr>
        <w:t>其他金融负债</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除下列各项外，公司将金融负债分类为以摊</w:t>
      </w:r>
      <w:proofErr w:type="gramStart"/>
      <w:r>
        <w:rPr>
          <w:rFonts w:hint="eastAsia"/>
          <w:sz w:val="18"/>
          <w:szCs w:val="18"/>
        </w:rPr>
        <w:t>余成本</w:t>
      </w:r>
      <w:proofErr w:type="gramEnd"/>
      <w:r>
        <w:rPr>
          <w:rFonts w:hint="eastAsia"/>
          <w:sz w:val="18"/>
          <w:szCs w:val="18"/>
        </w:rPr>
        <w:t>计量的金融负债，对此类金融负债采用实际利率法，按照摊</w:t>
      </w:r>
      <w:proofErr w:type="gramStart"/>
      <w:r>
        <w:rPr>
          <w:rFonts w:hint="eastAsia"/>
          <w:sz w:val="18"/>
          <w:szCs w:val="18"/>
        </w:rPr>
        <w:t>余成本</w:t>
      </w:r>
      <w:proofErr w:type="gramEnd"/>
      <w:r>
        <w:rPr>
          <w:rFonts w:hint="eastAsia"/>
          <w:sz w:val="18"/>
          <w:szCs w:val="18"/>
        </w:rPr>
        <w:t>进行后续计量，终止确认或摊销产生的利得或损失计入当期损益：</w:t>
      </w:r>
    </w:p>
    <w:p w:rsidR="00BE788E" w:rsidRDefault="00BE788E" w:rsidP="00B362E5">
      <w:pPr>
        <w:widowControl/>
        <w:numPr>
          <w:ilvl w:val="0"/>
          <w:numId w:val="30"/>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以公允价值计量且其变动计入当期损益的金融负债。</w:t>
      </w:r>
    </w:p>
    <w:p w:rsidR="00BE788E" w:rsidRDefault="00BE788E" w:rsidP="00B362E5">
      <w:pPr>
        <w:widowControl/>
        <w:numPr>
          <w:ilvl w:val="0"/>
          <w:numId w:val="30"/>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金融资产转移不符合终止确认条件或继续涉入被转移金融资产所形成的金融负债。</w:t>
      </w:r>
    </w:p>
    <w:p w:rsidR="00BE788E" w:rsidRDefault="00BE788E" w:rsidP="00B362E5">
      <w:pPr>
        <w:widowControl/>
        <w:numPr>
          <w:ilvl w:val="0"/>
          <w:numId w:val="30"/>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不属于本条前两类情形的财务担保合同，以及不属于本条第</w:t>
      </w:r>
      <w:r>
        <w:rPr>
          <w:rFonts w:ascii="Times New Roman" w:hAnsi="Times New Roman" w:cs="Times New Roman"/>
          <w:sz w:val="18"/>
          <w:szCs w:val="18"/>
        </w:rPr>
        <w:t>1</w:t>
      </w:r>
      <w:r>
        <w:rPr>
          <w:rFonts w:hint="eastAsia"/>
          <w:sz w:val="18"/>
          <w:szCs w:val="18"/>
        </w:rPr>
        <w:t>）类情形的以低于市场利率贷款的贷款承诺。</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财务担保合同是指当特定债务人到期不能按照最初或修改后的债务工具条款偿付债务时，要求发行方向蒙受损失的合同持有人赔付特定金额的合同。不属于指定为以公允价值计量且其变动计入当期损益的金融负债的财务担保合同，在初始确认后按照损失准备金额以及初始确认金额扣除担保期内的累计摊销额后的余额孰高进行计量。</w:t>
      </w:r>
    </w:p>
    <w:p w:rsidR="00BE788E" w:rsidRDefault="00BE788E" w:rsidP="00B362E5">
      <w:pPr>
        <w:widowControl/>
        <w:numPr>
          <w:ilvl w:val="0"/>
          <w:numId w:val="31"/>
        </w:numPr>
        <w:spacing w:before="100" w:beforeAutospacing="1" w:after="100" w:afterAutospacing="1"/>
        <w:divId w:val="116679010"/>
        <w:rPr>
          <w:sz w:val="18"/>
          <w:szCs w:val="18"/>
        </w:rPr>
      </w:pPr>
      <w:r>
        <w:rPr>
          <w:rFonts w:hint="eastAsia"/>
          <w:sz w:val="18"/>
          <w:szCs w:val="18"/>
        </w:rPr>
        <w:t>金融资产和金融负债的终止确认</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）金融资产满足下列条件之一的，终止确认金融资产，即从其账户和资产负债表内予以转销：</w:t>
      </w:r>
    </w:p>
    <w:p w:rsidR="00BE788E" w:rsidRDefault="00BE788E" w:rsidP="00B362E5">
      <w:pPr>
        <w:widowControl/>
        <w:numPr>
          <w:ilvl w:val="0"/>
          <w:numId w:val="32"/>
        </w:numPr>
        <w:spacing w:before="100" w:beforeAutospacing="1" w:after="100" w:afterAutospacing="1"/>
        <w:divId w:val="116679010"/>
        <w:rPr>
          <w:sz w:val="18"/>
          <w:szCs w:val="18"/>
        </w:rPr>
      </w:pPr>
      <w:r>
        <w:rPr>
          <w:rFonts w:hint="eastAsia"/>
          <w:sz w:val="18"/>
          <w:szCs w:val="18"/>
        </w:rPr>
        <w:t>）收取该金融资产现金流量的合同权利终止。</w:t>
      </w:r>
    </w:p>
    <w:p w:rsidR="00BE788E" w:rsidRDefault="00BE788E" w:rsidP="00B362E5">
      <w:pPr>
        <w:widowControl/>
        <w:numPr>
          <w:ilvl w:val="0"/>
          <w:numId w:val="32"/>
        </w:numPr>
        <w:spacing w:before="100" w:beforeAutospacing="1" w:after="100" w:afterAutospacing="1"/>
        <w:divId w:val="116679010"/>
        <w:rPr>
          <w:sz w:val="18"/>
          <w:szCs w:val="18"/>
        </w:rPr>
      </w:pPr>
      <w:r>
        <w:rPr>
          <w:rFonts w:hint="eastAsia"/>
          <w:sz w:val="18"/>
          <w:szCs w:val="18"/>
        </w:rPr>
        <w:t>）该金融资产已转移，且</w:t>
      </w:r>
      <w:proofErr w:type="gramStart"/>
      <w:r>
        <w:rPr>
          <w:rFonts w:hint="eastAsia"/>
          <w:sz w:val="18"/>
          <w:szCs w:val="18"/>
        </w:rPr>
        <w:t>该转移</w:t>
      </w:r>
      <w:proofErr w:type="gramEnd"/>
      <w:r>
        <w:rPr>
          <w:rFonts w:hint="eastAsia"/>
          <w:sz w:val="18"/>
          <w:szCs w:val="18"/>
        </w:rPr>
        <w:t>满足金融资产终止确认的规定。</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）金融负债终止确认条件</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金融负债（或其一部分）的现时义务已经解除的，则终止确认该金融负债（或该部分金融负债）。</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与借出方之间签订协议，以承担新金融负债方式替换原金融负债，且新金融负债与原金融负债的合同条款实质上不同的，或对原金融负债（或其一部分）的合同条款做出实质性修改的，则终止确认原金融负债，同时确认一项新金融负债，账面价值与支付的对价（包括转出的非现金资产或承担的负债）之间的差额，计入当期损益。</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回购金融负债一部分的，按照继续确认部分和终止确认部分在回购日各自的公允价值占整体公允价值的比例，对该金融负债整体的账面价值进行分配。分配给终止确认部分的账面价值与支付的对价（包括转出的非现金资产或承担的负债）之间的差额，应当计入当期损益。</w:t>
      </w:r>
    </w:p>
    <w:p w:rsidR="00BE788E" w:rsidRDefault="00BE788E" w:rsidP="00B362E5">
      <w:pPr>
        <w:widowControl/>
        <w:numPr>
          <w:ilvl w:val="0"/>
          <w:numId w:val="33"/>
        </w:numPr>
        <w:spacing w:before="100" w:beforeAutospacing="1" w:after="100" w:afterAutospacing="1"/>
        <w:divId w:val="116679010"/>
        <w:rPr>
          <w:sz w:val="18"/>
          <w:szCs w:val="18"/>
        </w:rPr>
      </w:pPr>
      <w:r>
        <w:rPr>
          <w:rFonts w:hint="eastAsia"/>
          <w:sz w:val="18"/>
          <w:szCs w:val="18"/>
        </w:rPr>
        <w:t>金融资产转移的确认依据和计量方法</w:t>
      </w:r>
    </w:p>
    <w:p w:rsidR="00BE788E" w:rsidRPr="00B362E5" w:rsidRDefault="00BE788E" w:rsidP="00B362E5">
      <w:pPr>
        <w:pStyle w:val="a3"/>
        <w:spacing w:before="0" w:beforeAutospacing="0" w:after="0" w:afterAutospacing="0"/>
        <w:ind w:firstLine="420"/>
        <w:jc w:val="both"/>
        <w:divId w:val="116679010"/>
        <w:rPr>
          <w:sz w:val="21"/>
          <w:szCs w:val="21"/>
        </w:rPr>
      </w:pPr>
      <w:r>
        <w:rPr>
          <w:rFonts w:hint="eastAsia"/>
          <w:sz w:val="18"/>
          <w:szCs w:val="18"/>
        </w:rPr>
        <w:lastRenderedPageBreak/>
        <w:t>本公司在发生金融资产转移时，评估其保留金融资产所有权上的风险和报酬的程度，并分别下列情形处理：</w:t>
      </w:r>
    </w:p>
    <w:p w:rsidR="00BE788E" w:rsidRDefault="00BE788E" w:rsidP="00B362E5">
      <w:pPr>
        <w:widowControl/>
        <w:numPr>
          <w:ilvl w:val="1"/>
          <w:numId w:val="34"/>
        </w:numPr>
        <w:spacing w:before="100" w:beforeAutospacing="1" w:after="100" w:afterAutospacing="1"/>
        <w:divId w:val="116679010"/>
        <w:rPr>
          <w:sz w:val="18"/>
          <w:szCs w:val="18"/>
        </w:rPr>
      </w:pPr>
      <w:r>
        <w:rPr>
          <w:rFonts w:hint="eastAsia"/>
          <w:sz w:val="18"/>
          <w:szCs w:val="18"/>
        </w:rPr>
        <w:t>转移了金融资产所有权上几乎所有风险和报酬的，则终止确认该金融资产，并将转移中产生或保留的权利和义务单独确认为资产或负债。</w:t>
      </w:r>
    </w:p>
    <w:p w:rsidR="00BE788E" w:rsidRDefault="00BE788E" w:rsidP="00B362E5">
      <w:pPr>
        <w:widowControl/>
        <w:numPr>
          <w:ilvl w:val="1"/>
          <w:numId w:val="34"/>
        </w:numPr>
        <w:spacing w:before="100" w:beforeAutospacing="1" w:after="100" w:afterAutospacing="1"/>
        <w:divId w:val="116679010"/>
        <w:rPr>
          <w:sz w:val="18"/>
          <w:szCs w:val="18"/>
        </w:rPr>
      </w:pPr>
      <w:r>
        <w:rPr>
          <w:rFonts w:hint="eastAsia"/>
          <w:sz w:val="18"/>
          <w:szCs w:val="18"/>
        </w:rPr>
        <w:t>保留了金融资产所有权上几乎所有风险和报酬的，则继续确认该金融资产。</w:t>
      </w:r>
    </w:p>
    <w:p w:rsidR="00BE788E" w:rsidRDefault="00BE788E" w:rsidP="00B362E5">
      <w:pPr>
        <w:widowControl/>
        <w:numPr>
          <w:ilvl w:val="1"/>
          <w:numId w:val="34"/>
        </w:numPr>
        <w:spacing w:before="100" w:beforeAutospacing="1" w:after="100" w:afterAutospacing="1"/>
        <w:divId w:val="116679010"/>
        <w:rPr>
          <w:sz w:val="18"/>
          <w:szCs w:val="18"/>
        </w:rPr>
      </w:pPr>
      <w:r>
        <w:rPr>
          <w:rFonts w:hint="eastAsia"/>
          <w:sz w:val="18"/>
          <w:szCs w:val="18"/>
        </w:rPr>
        <w:t>既没有转移也没有保留金融资产所有权上几乎所有风险和报酬的（即除本条（</w:t>
      </w:r>
      <w:r>
        <w:rPr>
          <w:rFonts w:ascii="Times New Roman" w:hAnsi="Times New Roman" w:cs="Times New Roman"/>
          <w:sz w:val="18"/>
          <w:szCs w:val="18"/>
        </w:rPr>
        <w:t>1</w:t>
      </w:r>
      <w:r>
        <w:rPr>
          <w:rFonts w:hint="eastAsia"/>
          <w:sz w:val="18"/>
          <w:szCs w:val="18"/>
        </w:rPr>
        <w:t>）、（</w:t>
      </w:r>
      <w:r>
        <w:rPr>
          <w:rFonts w:ascii="Times New Roman" w:hAnsi="Times New Roman" w:cs="Times New Roman"/>
          <w:sz w:val="18"/>
          <w:szCs w:val="18"/>
        </w:rPr>
        <w:t>2</w:t>
      </w:r>
      <w:r>
        <w:rPr>
          <w:rFonts w:hint="eastAsia"/>
          <w:sz w:val="18"/>
          <w:szCs w:val="18"/>
        </w:rPr>
        <w:t>）之外的其他情形），则根据其是否保留了对金融资产的控制，分别下列情形处理：</w:t>
      </w:r>
    </w:p>
    <w:p w:rsidR="00BE788E" w:rsidRDefault="00BE788E" w:rsidP="00B362E5">
      <w:pPr>
        <w:widowControl/>
        <w:numPr>
          <w:ilvl w:val="0"/>
          <w:numId w:val="35"/>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未保留对该金融资产控制的，则终止确认该金融资产，并将转移中产生或保留的权利和义务单独确认为资产或负债。</w:t>
      </w:r>
    </w:p>
    <w:p w:rsidR="00BE788E" w:rsidRDefault="00BE788E" w:rsidP="00B362E5">
      <w:pPr>
        <w:widowControl/>
        <w:numPr>
          <w:ilvl w:val="0"/>
          <w:numId w:val="35"/>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保留了对该金融资产控制的，则按照其继续涉入被转移金融资产的程度继续确认有关金融资产，并相应确认相关负债。继续涉入被转移金融资产的程度，是指本公司承担的被转移金融资产价值变动风险或报酬的程度。</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在判断金融资产转移是否满足上述金融资产终止确认条件时，采用实质重于形式的原则。公司将金融资产转移区分为金融资产整体转移和部分转移。</w:t>
      </w:r>
    </w:p>
    <w:p w:rsidR="00BE788E" w:rsidRDefault="00BE788E" w:rsidP="00B362E5">
      <w:pPr>
        <w:widowControl/>
        <w:numPr>
          <w:ilvl w:val="0"/>
          <w:numId w:val="36"/>
        </w:numPr>
        <w:spacing w:before="100" w:beforeAutospacing="1" w:after="100" w:afterAutospacing="1"/>
        <w:divId w:val="116679010"/>
        <w:rPr>
          <w:sz w:val="18"/>
          <w:szCs w:val="18"/>
        </w:rPr>
      </w:pPr>
      <w:r>
        <w:rPr>
          <w:rFonts w:hint="eastAsia"/>
          <w:sz w:val="18"/>
          <w:szCs w:val="18"/>
        </w:rPr>
        <w:t>金融资产整体转移满足终止确认条件的，将下列两项金额的差额计入当期损益：</w:t>
      </w:r>
    </w:p>
    <w:p w:rsidR="00BE788E" w:rsidRDefault="00BE788E" w:rsidP="00B362E5">
      <w:pPr>
        <w:widowControl/>
        <w:numPr>
          <w:ilvl w:val="0"/>
          <w:numId w:val="37"/>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被转移金融资产在终止确认日的账面价值。</w:t>
      </w:r>
    </w:p>
    <w:p w:rsidR="00BE788E" w:rsidRDefault="00BE788E" w:rsidP="00B362E5">
      <w:pPr>
        <w:widowControl/>
        <w:numPr>
          <w:ilvl w:val="0"/>
          <w:numId w:val="37"/>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因转移金融资产而收到的对价，与</w:t>
      </w:r>
      <w:proofErr w:type="gramStart"/>
      <w:r>
        <w:rPr>
          <w:rFonts w:hint="eastAsia"/>
          <w:sz w:val="18"/>
          <w:szCs w:val="18"/>
        </w:rPr>
        <w:t>原直接</w:t>
      </w:r>
      <w:proofErr w:type="gramEnd"/>
      <w:r>
        <w:rPr>
          <w:rFonts w:hint="eastAsia"/>
          <w:sz w:val="18"/>
          <w:szCs w:val="18"/>
        </w:rPr>
        <w:t>计入其他综合收益的公允价值变动累计额中对应终止确认部分的金额（涉及转移的金融资产为以公允价值计量且其变动计入其他综合收益的金融资产）之</w:t>
      </w:r>
      <w:proofErr w:type="gramStart"/>
      <w:r>
        <w:rPr>
          <w:rFonts w:hint="eastAsia"/>
          <w:sz w:val="18"/>
          <w:szCs w:val="18"/>
        </w:rPr>
        <w:t>和</w:t>
      </w:r>
      <w:proofErr w:type="gramEnd"/>
      <w:r>
        <w:rPr>
          <w:rFonts w:hint="eastAsia"/>
          <w:sz w:val="18"/>
          <w:szCs w:val="18"/>
        </w:rPr>
        <w:t>。</w:t>
      </w:r>
    </w:p>
    <w:p w:rsidR="00BE788E" w:rsidRDefault="00BE788E" w:rsidP="00B362E5">
      <w:pPr>
        <w:widowControl/>
        <w:numPr>
          <w:ilvl w:val="0"/>
          <w:numId w:val="38"/>
        </w:numPr>
        <w:spacing w:before="100" w:beforeAutospacing="1" w:after="100" w:afterAutospacing="1"/>
        <w:divId w:val="116679010"/>
        <w:rPr>
          <w:sz w:val="18"/>
          <w:szCs w:val="18"/>
        </w:rPr>
      </w:pPr>
      <w:r>
        <w:rPr>
          <w:rFonts w:hint="eastAsia"/>
          <w:sz w:val="18"/>
          <w:szCs w:val="18"/>
        </w:rPr>
        <w:t>金融资产部分转移且该被转移部分整体满足终止确认条件的，将转移前金融资产整体的账面价值，在终止确认部分和继续确认部分（在此种情形下，所保留的服务资产应当视同继续确认金融资产的一部分）之间，按照</w:t>
      </w:r>
      <w:proofErr w:type="gramStart"/>
      <w:r>
        <w:rPr>
          <w:rFonts w:hint="eastAsia"/>
          <w:sz w:val="18"/>
          <w:szCs w:val="18"/>
        </w:rPr>
        <w:t>转移日</w:t>
      </w:r>
      <w:proofErr w:type="gramEnd"/>
      <w:r>
        <w:rPr>
          <w:rFonts w:hint="eastAsia"/>
          <w:sz w:val="18"/>
          <w:szCs w:val="18"/>
        </w:rPr>
        <w:t>各自的相对公允价值进行分摊，并将下列两项金额的差额计入当期损益：</w:t>
      </w:r>
    </w:p>
    <w:p w:rsidR="00BE788E" w:rsidRDefault="00BE788E" w:rsidP="00B362E5">
      <w:pPr>
        <w:widowControl/>
        <w:numPr>
          <w:ilvl w:val="0"/>
          <w:numId w:val="39"/>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终止确认部分在终止确认日的账面价值。</w:t>
      </w:r>
    </w:p>
    <w:p w:rsidR="00BE788E" w:rsidRDefault="00BE788E" w:rsidP="00B362E5">
      <w:pPr>
        <w:widowControl/>
        <w:numPr>
          <w:ilvl w:val="0"/>
          <w:numId w:val="39"/>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终止确认部分收到的对价，与原计入其他综合收益的公允价值变动累计额中对应终止确认部分的金额（涉及转移的金融资产为以公允价值计量且其变动计入其他综合收益的金融资产）之</w:t>
      </w:r>
      <w:proofErr w:type="gramStart"/>
      <w:r>
        <w:rPr>
          <w:rFonts w:hint="eastAsia"/>
          <w:sz w:val="18"/>
          <w:szCs w:val="18"/>
        </w:rPr>
        <w:t>和</w:t>
      </w:r>
      <w:proofErr w:type="gramEnd"/>
      <w:r>
        <w:rPr>
          <w:rFonts w:hint="eastAsia"/>
          <w:sz w:val="18"/>
          <w:szCs w:val="18"/>
        </w:rPr>
        <w:t>。</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金融资产转移不满足终止确认条件的，继续确认该金融资产，所收到的对价确认为一项金融负债。</w:t>
      </w:r>
    </w:p>
    <w:p w:rsidR="00BE788E" w:rsidRDefault="00BE788E" w:rsidP="00B362E5">
      <w:pPr>
        <w:widowControl/>
        <w:numPr>
          <w:ilvl w:val="0"/>
          <w:numId w:val="40"/>
        </w:numPr>
        <w:spacing w:before="100" w:beforeAutospacing="1" w:after="100" w:afterAutospacing="1"/>
        <w:divId w:val="116679010"/>
        <w:rPr>
          <w:sz w:val="18"/>
          <w:szCs w:val="18"/>
        </w:rPr>
      </w:pPr>
      <w:r>
        <w:rPr>
          <w:rFonts w:hint="eastAsia"/>
          <w:sz w:val="18"/>
          <w:szCs w:val="18"/>
        </w:rPr>
        <w:t>金融资产和金融负债公允价值的确定方法</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存在活跃市场的金融资产或金融负债，以活跃市场的报价确定其公允价值，除非该项金融资产存在针对资产本身的限售期。对于针对资产本身的限售的金融资产，按照活跃市场的报价扣除市场参与者因承担指定期间内无法在公开市场上出售该金融资产的风险而要求获得的补偿金额后确定。活跃市场的报价包括易于且可定期从交易所、交易商、经纪人、行业集团、定价机构或监管机构等获得相关资产或负债的报价，且能代表在公平交易基础上实际并经常发生的市场交易。</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初始取得或衍生的金融资产或承担的金融负债，以市场交易价格作为确定其公允价值的基础。</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不存在活跃市场的金融资产或金融负债，采用估值技术确定其公允价值。在估值时，本公司采用在当前情况下适用并且有足够可利用数据和其他信息支持的估值技术，选择与市场参与者在相关资产或负债的交易中所考虑的资产或负债特征相一致的输入值，并尽可能优先使用相关可观察输入值。在相关可观察输入值无法取得或取得不切实可行的情况下，使用不可观察输入值。</w:t>
      </w:r>
    </w:p>
    <w:p w:rsidR="00BE788E" w:rsidRDefault="00BE788E" w:rsidP="00B362E5">
      <w:pPr>
        <w:widowControl/>
        <w:numPr>
          <w:ilvl w:val="0"/>
          <w:numId w:val="41"/>
        </w:numPr>
        <w:spacing w:before="100" w:beforeAutospacing="1" w:after="100" w:afterAutospacing="1"/>
        <w:divId w:val="116679010"/>
        <w:rPr>
          <w:sz w:val="18"/>
          <w:szCs w:val="18"/>
        </w:rPr>
      </w:pPr>
      <w:r>
        <w:rPr>
          <w:rFonts w:hint="eastAsia"/>
          <w:sz w:val="18"/>
          <w:szCs w:val="18"/>
        </w:rPr>
        <w:t>金融工具减值</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lastRenderedPageBreak/>
        <w:t>本公司对以摊</w:t>
      </w:r>
      <w:proofErr w:type="gramStart"/>
      <w:r>
        <w:rPr>
          <w:rFonts w:hint="eastAsia"/>
          <w:sz w:val="18"/>
          <w:szCs w:val="18"/>
        </w:rPr>
        <w:t>余成本</w:t>
      </w:r>
      <w:proofErr w:type="gramEnd"/>
      <w:r>
        <w:rPr>
          <w:rFonts w:hint="eastAsia"/>
          <w:sz w:val="18"/>
          <w:szCs w:val="18"/>
        </w:rPr>
        <w:t>计量的金融资产以预期信用损失为基础进行减值会计处理并确认损失准备。</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预期信用损失，是指以发生违约的风险为权重的金融工具信用损失的加权平均值。信用损失，是指本公司按照</w:t>
      </w:r>
      <w:proofErr w:type="gramStart"/>
      <w:r>
        <w:rPr>
          <w:rFonts w:hint="eastAsia"/>
          <w:sz w:val="18"/>
          <w:szCs w:val="18"/>
        </w:rPr>
        <w:t>原实际</w:t>
      </w:r>
      <w:proofErr w:type="gramEnd"/>
      <w:r>
        <w:rPr>
          <w:rFonts w:hint="eastAsia"/>
          <w:sz w:val="18"/>
          <w:szCs w:val="18"/>
        </w:rPr>
        <w:t>利率折现的、根据合同应收的所有合同现金流量与预期收取的所有现金流量之间的差额，即全部现金短缺的现值。其中，对于本公司</w:t>
      </w:r>
      <w:proofErr w:type="gramStart"/>
      <w:r>
        <w:rPr>
          <w:rFonts w:hint="eastAsia"/>
          <w:sz w:val="18"/>
          <w:szCs w:val="18"/>
        </w:rPr>
        <w:t>购买或源生</w:t>
      </w:r>
      <w:proofErr w:type="gramEnd"/>
      <w:r>
        <w:rPr>
          <w:rFonts w:hint="eastAsia"/>
          <w:sz w:val="18"/>
          <w:szCs w:val="18"/>
        </w:rPr>
        <w:t>的已发生信用减值的金融资产，应按照该金融资产经信用调整的实际利率折现。</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对于</w:t>
      </w:r>
      <w:proofErr w:type="gramStart"/>
      <w:r>
        <w:rPr>
          <w:rFonts w:hint="eastAsia"/>
          <w:sz w:val="18"/>
          <w:szCs w:val="18"/>
        </w:rPr>
        <w:t>购买或源生</w:t>
      </w:r>
      <w:proofErr w:type="gramEnd"/>
      <w:r>
        <w:rPr>
          <w:rFonts w:hint="eastAsia"/>
          <w:sz w:val="18"/>
          <w:szCs w:val="18"/>
        </w:rPr>
        <w:t>的已发生信用减值的金融资产，在资产负债表日仅将自初始确认后整个存续期内预期信用损失的累计变动确认为损失准备。在每个资产负债表日，将整个存续期内预期信用损失的变动金额作为减值损失或利得计入当期损益。即使该资产负债表日确定的整个存续期内预期信用损失小于初始确认时估计现金流量所反映的预期信用损失的金额，也将预期信用损失的有利变动确认为减值利得。</w:t>
      </w:r>
    </w:p>
    <w:p w:rsidR="00BE788E" w:rsidRPr="00B362E5" w:rsidRDefault="00BE788E" w:rsidP="00B362E5">
      <w:pPr>
        <w:pStyle w:val="a3"/>
        <w:spacing w:before="0" w:beforeAutospacing="0" w:after="0" w:afterAutospacing="0"/>
        <w:ind w:firstLine="420"/>
        <w:jc w:val="both"/>
        <w:divId w:val="116679010"/>
        <w:rPr>
          <w:sz w:val="21"/>
          <w:szCs w:val="21"/>
        </w:rPr>
      </w:pPr>
      <w:r>
        <w:rPr>
          <w:rFonts w:hint="eastAsia"/>
          <w:sz w:val="18"/>
          <w:szCs w:val="18"/>
        </w:rPr>
        <w:t>除上述采用简化计量方法和</w:t>
      </w:r>
      <w:proofErr w:type="gramStart"/>
      <w:r>
        <w:rPr>
          <w:rFonts w:hint="eastAsia"/>
          <w:sz w:val="18"/>
          <w:szCs w:val="18"/>
        </w:rPr>
        <w:t>购买或源生</w:t>
      </w:r>
      <w:proofErr w:type="gramEnd"/>
      <w:r>
        <w:rPr>
          <w:rFonts w:hint="eastAsia"/>
          <w:sz w:val="18"/>
          <w:szCs w:val="18"/>
        </w:rPr>
        <w:t>的已发生信用减值以外的其他金融资产，本公司在每个资产负债表日评估相关金融工具的信用风险自初始确认后是否已显著增加，并按照下列情形分别计量其损失准备、确认预期信用损失及其变动：</w:t>
      </w:r>
    </w:p>
    <w:p w:rsidR="00BE788E" w:rsidRDefault="00BE788E" w:rsidP="00B362E5">
      <w:pPr>
        <w:widowControl/>
        <w:numPr>
          <w:ilvl w:val="1"/>
          <w:numId w:val="42"/>
        </w:numPr>
        <w:spacing w:before="100" w:beforeAutospacing="1" w:after="100" w:afterAutospacing="1"/>
        <w:divId w:val="116679010"/>
        <w:rPr>
          <w:sz w:val="18"/>
          <w:szCs w:val="18"/>
        </w:rPr>
      </w:pPr>
      <w:r>
        <w:rPr>
          <w:rFonts w:hint="eastAsia"/>
          <w:sz w:val="18"/>
          <w:szCs w:val="18"/>
        </w:rPr>
        <w:t>如果该金融工具的信用风险自初始确认后并未显著增加，处于第一阶段，则按照相当于该金融工具未来</w:t>
      </w:r>
      <w:r>
        <w:rPr>
          <w:rFonts w:ascii="Times New Roman" w:hAnsi="Times New Roman" w:cs="Times New Roman"/>
          <w:sz w:val="18"/>
          <w:szCs w:val="18"/>
        </w:rPr>
        <w:t>12</w:t>
      </w:r>
      <w:r>
        <w:rPr>
          <w:rFonts w:hint="eastAsia"/>
          <w:sz w:val="18"/>
          <w:szCs w:val="18"/>
        </w:rPr>
        <w:t>个月内预期信用损失的金额计量其损失准备，并按照账面余额和实际利率计算利息收入。</w:t>
      </w:r>
    </w:p>
    <w:p w:rsidR="00BE788E" w:rsidRDefault="00BE788E" w:rsidP="00B362E5">
      <w:pPr>
        <w:widowControl/>
        <w:numPr>
          <w:ilvl w:val="1"/>
          <w:numId w:val="42"/>
        </w:numPr>
        <w:spacing w:before="100" w:beforeAutospacing="1" w:after="100" w:afterAutospacing="1"/>
        <w:divId w:val="116679010"/>
        <w:rPr>
          <w:sz w:val="18"/>
          <w:szCs w:val="18"/>
        </w:rPr>
      </w:pPr>
      <w:r>
        <w:rPr>
          <w:rFonts w:hint="eastAsia"/>
          <w:sz w:val="18"/>
          <w:szCs w:val="18"/>
        </w:rPr>
        <w:t>如果该金融工具的信用风险自初始确认后已显著增加但尚未发生信用减值的，处于第二阶段，则按照相当于该金融工具整个存续期内预期信用损失的金额计量其损失准备，并按照账面余额和实际利率计算利息收入。</w:t>
      </w:r>
    </w:p>
    <w:p w:rsidR="00BE788E" w:rsidRDefault="00BE788E" w:rsidP="00B362E5">
      <w:pPr>
        <w:widowControl/>
        <w:numPr>
          <w:ilvl w:val="1"/>
          <w:numId w:val="42"/>
        </w:numPr>
        <w:spacing w:before="100" w:beforeAutospacing="1" w:after="100" w:afterAutospacing="1"/>
        <w:divId w:val="116679010"/>
        <w:rPr>
          <w:sz w:val="18"/>
          <w:szCs w:val="18"/>
        </w:rPr>
      </w:pPr>
      <w:r>
        <w:rPr>
          <w:rFonts w:hint="eastAsia"/>
          <w:sz w:val="18"/>
          <w:szCs w:val="18"/>
        </w:rPr>
        <w:t>如果该金融工具自初始确认后已经发生信用减值的，处于第三阶段，本公司按照相当于该金融工具整个存续期内预期信用损失的金额计量其损失准备，并按照摊</w:t>
      </w:r>
      <w:proofErr w:type="gramStart"/>
      <w:r>
        <w:rPr>
          <w:rFonts w:hint="eastAsia"/>
          <w:sz w:val="18"/>
          <w:szCs w:val="18"/>
        </w:rPr>
        <w:t>余成本</w:t>
      </w:r>
      <w:proofErr w:type="gramEnd"/>
      <w:r>
        <w:rPr>
          <w:rFonts w:hint="eastAsia"/>
          <w:sz w:val="18"/>
          <w:szCs w:val="18"/>
        </w:rPr>
        <w:t>和实际利率计算利息收入。</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工具信用损失准备的增加或转回金额，作为减值损失或利得计入当期损益。除分类为以公允价值计量且其变动计入其他综合收益的金融资产外，信用损失准备抵减金融资产的账面余额。对于分类为以公允价值计量且其变动计入其他综合收益的金融资产，本公司在其他综合收益中确认其信用损失准备，不减少该金融资产在资产负债表中列示的账面价值。</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在前一会计期间已经按照相当于金融工具整个存续期内预期信用损失的金额计量了损失准备，但在当期资产负债表日，该金融工具已不再属于自初始确认后信用风险显著增加的情形的，本公司在当期资产负债表</w:t>
      </w:r>
      <w:proofErr w:type="gramStart"/>
      <w:r>
        <w:rPr>
          <w:rFonts w:hint="eastAsia"/>
          <w:sz w:val="18"/>
          <w:szCs w:val="18"/>
        </w:rPr>
        <w:t>日按照</w:t>
      </w:r>
      <w:proofErr w:type="gramEnd"/>
      <w:r>
        <w:rPr>
          <w:rFonts w:hint="eastAsia"/>
          <w:sz w:val="18"/>
          <w:szCs w:val="18"/>
        </w:rPr>
        <w:t>相当于未来</w:t>
      </w:r>
      <w:r>
        <w:rPr>
          <w:rFonts w:ascii="Times New Roman" w:hAnsi="Times New Roman" w:cs="Times New Roman"/>
          <w:sz w:val="18"/>
          <w:szCs w:val="18"/>
        </w:rPr>
        <w:t>12</w:t>
      </w:r>
      <w:r>
        <w:rPr>
          <w:rFonts w:hint="eastAsia"/>
          <w:sz w:val="18"/>
          <w:szCs w:val="18"/>
        </w:rPr>
        <w:t>个月内预期信用损失的金额计量该金融工具的损失准备，由此形成的损失准备的转回金额作为减值利得计入当期损益。</w:t>
      </w:r>
    </w:p>
    <w:p w:rsidR="00BE788E" w:rsidRDefault="00BE788E" w:rsidP="00B362E5">
      <w:pPr>
        <w:widowControl/>
        <w:numPr>
          <w:ilvl w:val="0"/>
          <w:numId w:val="43"/>
        </w:numPr>
        <w:spacing w:before="100" w:beforeAutospacing="1" w:after="100" w:afterAutospacing="1"/>
        <w:divId w:val="116679010"/>
        <w:rPr>
          <w:sz w:val="18"/>
          <w:szCs w:val="18"/>
        </w:rPr>
      </w:pPr>
      <w:r>
        <w:rPr>
          <w:rFonts w:hint="eastAsia"/>
          <w:sz w:val="18"/>
          <w:szCs w:val="18"/>
        </w:rPr>
        <w:t>信用风险显著增加</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利用可获得的合理且有依据的前瞻性信息，通过比较金融工具在资产负债表日发生违约的风险与在初始确认日发生违约的风险，以确定金融工具的信用风险自初始确认后是否已显著增加。对于财务担保合同，本公司在应用金融工具减值规定时，将本公司成为做出不可撤销承诺的一方之日作为初始确认日。</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本公司在评估信用风险是否显著增加时会考虑如下因素：</w:t>
      </w:r>
    </w:p>
    <w:p w:rsidR="00BE788E" w:rsidRDefault="00BE788E" w:rsidP="00B362E5">
      <w:pPr>
        <w:widowControl/>
        <w:numPr>
          <w:ilvl w:val="0"/>
          <w:numId w:val="44"/>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债务人经营成果实际或预期是否发生显著变化；</w:t>
      </w:r>
    </w:p>
    <w:p w:rsidR="00BE788E" w:rsidRDefault="00BE788E" w:rsidP="00B362E5">
      <w:pPr>
        <w:widowControl/>
        <w:numPr>
          <w:ilvl w:val="0"/>
          <w:numId w:val="44"/>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债务人所处的监管、经济或技术环境是否发生显著不利变化；</w:t>
      </w:r>
    </w:p>
    <w:p w:rsidR="00BE788E" w:rsidRDefault="00BE788E" w:rsidP="00B362E5">
      <w:pPr>
        <w:widowControl/>
        <w:numPr>
          <w:ilvl w:val="0"/>
          <w:numId w:val="44"/>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作为债务抵押的担保物价值或第三方提供的担保或信用增级质量是否发生显著变化，这些变化预期将降低债务人按合同规定期限还款的经济动机或者影响违约概率；</w:t>
      </w:r>
    </w:p>
    <w:p w:rsidR="00BE788E" w:rsidRDefault="00BE788E" w:rsidP="00B362E5">
      <w:pPr>
        <w:widowControl/>
        <w:numPr>
          <w:ilvl w:val="0"/>
          <w:numId w:val="44"/>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债务人预期表现和还款行为是否发生显著变化；</w:t>
      </w:r>
    </w:p>
    <w:p w:rsidR="00BE788E" w:rsidRDefault="00BE788E" w:rsidP="00B362E5">
      <w:pPr>
        <w:widowControl/>
        <w:numPr>
          <w:ilvl w:val="0"/>
          <w:numId w:val="44"/>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本公司对金融工具信用管理方法是否发生变化等。</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于资产负债表日，若本公司判断金融工具只具有较低的信用风险，则本公司假定该金融工具的信用风险自初始确认后并未显著增加。如果金融工具的违约风险较低，借款人在短期内履行其合同现金流量义务的能力很强，并且即使较长</w:t>
      </w:r>
      <w:r>
        <w:rPr>
          <w:rFonts w:hint="eastAsia"/>
          <w:sz w:val="18"/>
          <w:szCs w:val="18"/>
        </w:rPr>
        <w:lastRenderedPageBreak/>
        <w:t>时期内经济形势和经营环境存在不利变化，但未必一定降低借款人履行其合同现金流量义务的能力，则该金融工具被视为具有较低的信用风险。</w:t>
      </w:r>
    </w:p>
    <w:p w:rsidR="00BE788E" w:rsidRDefault="00BE788E" w:rsidP="00B362E5">
      <w:pPr>
        <w:widowControl/>
        <w:numPr>
          <w:ilvl w:val="0"/>
          <w:numId w:val="45"/>
        </w:numPr>
        <w:spacing w:before="100" w:beforeAutospacing="1" w:after="100" w:afterAutospacing="1"/>
        <w:divId w:val="116679010"/>
        <w:rPr>
          <w:sz w:val="18"/>
          <w:szCs w:val="18"/>
        </w:rPr>
      </w:pPr>
      <w:r>
        <w:rPr>
          <w:rFonts w:hint="eastAsia"/>
          <w:sz w:val="18"/>
          <w:szCs w:val="18"/>
        </w:rPr>
        <w:t>已发生信用减值的金融资产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当对金融资产预期未来现金流量具有不利影响的一项或多项事件发生时，该金融资产成为已发生信用减值的金融资产。金融资产已发生信用减值的证据包括下列可观察信息：</w:t>
      </w:r>
    </w:p>
    <w:p w:rsidR="00BE788E" w:rsidRDefault="00BE788E" w:rsidP="00B362E5">
      <w:pPr>
        <w:widowControl/>
        <w:numPr>
          <w:ilvl w:val="0"/>
          <w:numId w:val="46"/>
        </w:numPr>
        <w:spacing w:before="100" w:beforeAutospacing="1" w:after="100" w:afterAutospacing="1"/>
        <w:divId w:val="116679010"/>
        <w:rPr>
          <w:sz w:val="18"/>
          <w:szCs w:val="18"/>
        </w:rPr>
      </w:pPr>
    </w:p>
    <w:p w:rsidR="00BE788E" w:rsidRDefault="00BE788E" w:rsidP="00B362E5">
      <w:pPr>
        <w:widowControl/>
        <w:numPr>
          <w:ilvl w:val="1"/>
          <w:numId w:val="46"/>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发行方或债务人发生重大财务困难；</w:t>
      </w:r>
    </w:p>
    <w:p w:rsidR="00BE788E" w:rsidRDefault="00BE788E" w:rsidP="00B362E5">
      <w:pPr>
        <w:widowControl/>
        <w:numPr>
          <w:ilvl w:val="1"/>
          <w:numId w:val="46"/>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债务人违反合同，如偿付利息或本金违约或逾期等；</w:t>
      </w:r>
    </w:p>
    <w:p w:rsidR="00BE788E" w:rsidRDefault="00BE788E" w:rsidP="00B362E5">
      <w:pPr>
        <w:widowControl/>
        <w:numPr>
          <w:ilvl w:val="1"/>
          <w:numId w:val="46"/>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债权人出于与债务人财务困难有关的经济或合同考虑，给予债务人在任何其他情况下都不会做出的让步；</w:t>
      </w:r>
    </w:p>
    <w:p w:rsidR="00BE788E" w:rsidRDefault="00BE788E" w:rsidP="00B362E5">
      <w:pPr>
        <w:widowControl/>
        <w:numPr>
          <w:ilvl w:val="1"/>
          <w:numId w:val="46"/>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债务人很可能破产或进行其他财务重组；</w:t>
      </w:r>
    </w:p>
    <w:p w:rsidR="00BE788E" w:rsidRDefault="00BE788E" w:rsidP="00B362E5">
      <w:pPr>
        <w:widowControl/>
        <w:numPr>
          <w:ilvl w:val="1"/>
          <w:numId w:val="46"/>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发行方或债务人财务困难导致该金融资产的活跃市场消失；</w:t>
      </w:r>
    </w:p>
    <w:p w:rsidR="00BE788E" w:rsidRDefault="00BE788E" w:rsidP="00B362E5">
      <w:pPr>
        <w:widowControl/>
        <w:numPr>
          <w:ilvl w:val="1"/>
          <w:numId w:val="46"/>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以大幅折扣</w:t>
      </w:r>
      <w:proofErr w:type="gramStart"/>
      <w:r>
        <w:rPr>
          <w:rFonts w:hint="eastAsia"/>
          <w:sz w:val="18"/>
          <w:szCs w:val="18"/>
        </w:rPr>
        <w:t>购买或源生</w:t>
      </w:r>
      <w:proofErr w:type="gramEnd"/>
      <w:r>
        <w:rPr>
          <w:rFonts w:hint="eastAsia"/>
          <w:sz w:val="18"/>
          <w:szCs w:val="18"/>
        </w:rPr>
        <w:t>一项金融资产，该折扣反映了发生信用损失的事实。</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金融资产发生信用减值，有可能是多个事件的共同作用所致，未必是可单独识别的事件所致。</w:t>
      </w:r>
    </w:p>
    <w:p w:rsidR="00BE788E" w:rsidRDefault="00BE788E" w:rsidP="00B362E5">
      <w:pPr>
        <w:widowControl/>
        <w:numPr>
          <w:ilvl w:val="0"/>
          <w:numId w:val="47"/>
        </w:numPr>
        <w:spacing w:before="100" w:beforeAutospacing="1" w:after="100" w:afterAutospacing="1"/>
        <w:divId w:val="116679010"/>
        <w:rPr>
          <w:sz w:val="18"/>
          <w:szCs w:val="18"/>
        </w:rPr>
      </w:pPr>
      <w:r>
        <w:rPr>
          <w:rFonts w:hint="eastAsia"/>
          <w:sz w:val="18"/>
          <w:szCs w:val="18"/>
        </w:rPr>
        <w:t>预期信用损失的确定</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本公司基于单项和组合评估金融工具的预期信用损失，在评估预期信用损失时，考虑有关过去事项、当前状况以及未来经济状况预测的合理且有依据的信息。</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本公司以共同信用风险特征为依据，将金融工具分为不同组合。本公司采用的共同信用风险特征包括：金融工具类型、信用风险评级、账龄组合、逾期</w:t>
      </w:r>
      <w:proofErr w:type="gramStart"/>
      <w:r>
        <w:rPr>
          <w:rFonts w:hint="eastAsia"/>
          <w:sz w:val="18"/>
          <w:szCs w:val="18"/>
        </w:rPr>
        <w:t>账</w:t>
      </w:r>
      <w:proofErr w:type="gramEnd"/>
      <w:r>
        <w:rPr>
          <w:rFonts w:hint="eastAsia"/>
          <w:sz w:val="18"/>
          <w:szCs w:val="18"/>
        </w:rPr>
        <w:t>龄组合、合同结算周期、债务人所处行业等。相关金融工具的单项评估标准和组合信用风险特征详见相关金融工具的会计政策。</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本公司按照下列方法确定相关金融工具的预期信用损失：</w:t>
      </w:r>
    </w:p>
    <w:p w:rsidR="00BE788E" w:rsidRDefault="00BE788E" w:rsidP="00B362E5">
      <w:pPr>
        <w:pStyle w:val="a3"/>
        <w:spacing w:before="0" w:beforeAutospacing="0" w:after="0" w:afterAutospacing="0"/>
        <w:ind w:firstLine="420"/>
        <w:jc w:val="both"/>
        <w:divId w:val="116679010"/>
        <w:rPr>
          <w:sz w:val="21"/>
          <w:szCs w:val="21"/>
        </w:rPr>
      </w:pPr>
      <w:r>
        <w:rPr>
          <w:rFonts w:ascii="Times New Roman" w:hAnsi="Times New Roman" w:cs="Times New Roman"/>
          <w:sz w:val="18"/>
          <w:szCs w:val="18"/>
        </w:rPr>
        <w:t>1</w:t>
      </w:r>
      <w:r>
        <w:rPr>
          <w:rFonts w:hint="eastAsia"/>
          <w:sz w:val="18"/>
          <w:szCs w:val="18"/>
        </w:rPr>
        <w:t>）对于金融资产，信用损失为本公司应收取的合同现金流量与预期收取的现金流量之间差额的现值。</w:t>
      </w:r>
    </w:p>
    <w:p w:rsidR="00BE788E" w:rsidRDefault="00BE788E" w:rsidP="00B362E5">
      <w:pPr>
        <w:pStyle w:val="a3"/>
        <w:spacing w:before="0" w:beforeAutospacing="0" w:after="0" w:afterAutospacing="0"/>
        <w:ind w:firstLine="420"/>
        <w:jc w:val="both"/>
        <w:divId w:val="116679010"/>
        <w:rPr>
          <w:sz w:val="21"/>
          <w:szCs w:val="21"/>
        </w:rPr>
      </w:pPr>
      <w:r>
        <w:rPr>
          <w:rFonts w:ascii="Times New Roman" w:hAnsi="Times New Roman" w:cs="Times New Roman"/>
          <w:sz w:val="18"/>
          <w:szCs w:val="18"/>
        </w:rPr>
        <w:t>2</w:t>
      </w:r>
      <w:r>
        <w:rPr>
          <w:rFonts w:hint="eastAsia"/>
          <w:sz w:val="18"/>
          <w:szCs w:val="18"/>
        </w:rPr>
        <w:t>）对于租赁应收款项，信用损失为本公司应收取的合同现金流量与预期收取的现金流量之间差额的现值。</w:t>
      </w:r>
    </w:p>
    <w:p w:rsidR="00BE788E" w:rsidRDefault="00BE788E" w:rsidP="00B362E5">
      <w:pPr>
        <w:pStyle w:val="a3"/>
        <w:spacing w:before="0" w:beforeAutospacing="0" w:after="0" w:afterAutospacing="0"/>
        <w:ind w:firstLine="420"/>
        <w:jc w:val="both"/>
        <w:divId w:val="116679010"/>
        <w:rPr>
          <w:sz w:val="21"/>
          <w:szCs w:val="21"/>
        </w:rPr>
      </w:pPr>
      <w:r>
        <w:rPr>
          <w:rFonts w:ascii="Times New Roman" w:hAnsi="Times New Roman" w:cs="Times New Roman"/>
          <w:sz w:val="18"/>
          <w:szCs w:val="18"/>
        </w:rPr>
        <w:t>3</w:t>
      </w:r>
      <w:r>
        <w:rPr>
          <w:rFonts w:hint="eastAsia"/>
          <w:sz w:val="18"/>
          <w:szCs w:val="18"/>
        </w:rPr>
        <w:t>）对于财务担保合同，信用损失为本公司就该合同持有人发生的信用损失向其做出赔付的预计付款额，减去本公司预期向该合同持有人、债务人或任何其他方收取的金额之间差额的现值。</w:t>
      </w:r>
    </w:p>
    <w:p w:rsidR="00BE788E" w:rsidRDefault="00BE788E" w:rsidP="00B362E5">
      <w:pPr>
        <w:pStyle w:val="a3"/>
        <w:spacing w:before="0" w:beforeAutospacing="0" w:after="0" w:afterAutospacing="0"/>
        <w:ind w:firstLine="420"/>
        <w:jc w:val="both"/>
        <w:divId w:val="116679010"/>
        <w:rPr>
          <w:sz w:val="21"/>
          <w:szCs w:val="21"/>
        </w:rPr>
      </w:pPr>
      <w:r>
        <w:rPr>
          <w:rFonts w:ascii="Times New Roman" w:hAnsi="Times New Roman" w:cs="Times New Roman"/>
          <w:sz w:val="18"/>
          <w:szCs w:val="18"/>
        </w:rPr>
        <w:t>4</w:t>
      </w:r>
      <w:r>
        <w:rPr>
          <w:rFonts w:hint="eastAsia"/>
          <w:sz w:val="18"/>
          <w:szCs w:val="18"/>
        </w:rPr>
        <w:t>）对于资产负债表日已发生信用减值但并非</w:t>
      </w:r>
      <w:proofErr w:type="gramStart"/>
      <w:r>
        <w:rPr>
          <w:rFonts w:hint="eastAsia"/>
          <w:sz w:val="18"/>
          <w:szCs w:val="18"/>
        </w:rPr>
        <w:t>购买或源生</w:t>
      </w:r>
      <w:proofErr w:type="gramEnd"/>
      <w:r>
        <w:rPr>
          <w:rFonts w:hint="eastAsia"/>
          <w:sz w:val="18"/>
          <w:szCs w:val="18"/>
        </w:rPr>
        <w:t>已发生信用减值的金融资产，信用损失为该金融资产账面余额与按</w:t>
      </w:r>
      <w:proofErr w:type="gramStart"/>
      <w:r>
        <w:rPr>
          <w:rFonts w:hint="eastAsia"/>
          <w:sz w:val="18"/>
          <w:szCs w:val="18"/>
        </w:rPr>
        <w:t>原实际</w:t>
      </w:r>
      <w:proofErr w:type="gramEnd"/>
      <w:r>
        <w:rPr>
          <w:rFonts w:hint="eastAsia"/>
          <w:sz w:val="18"/>
          <w:szCs w:val="18"/>
        </w:rPr>
        <w:t>利率折现的估计未来现金流量的现值之间的差额。</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计量金融工具预期信用损失的方法反映的因素包括：通过评价一系列可能的结果而确定的无偏概率加权平均金额；货币时间价值；在资产负债表日无须付出不必要的额外成本或努力即可获得的有关过去事项、当前状况以及未来经济状况预测的合理且有依据的信息。</w:t>
      </w:r>
    </w:p>
    <w:p w:rsidR="00BE788E" w:rsidRDefault="00BE788E" w:rsidP="00B362E5">
      <w:pPr>
        <w:widowControl/>
        <w:numPr>
          <w:ilvl w:val="0"/>
          <w:numId w:val="48"/>
        </w:numPr>
        <w:spacing w:before="100" w:beforeAutospacing="1" w:after="100" w:afterAutospacing="1"/>
        <w:divId w:val="116679010"/>
        <w:rPr>
          <w:sz w:val="18"/>
          <w:szCs w:val="18"/>
        </w:rPr>
      </w:pPr>
      <w:proofErr w:type="gramStart"/>
      <w:r>
        <w:rPr>
          <w:rFonts w:hint="eastAsia"/>
          <w:sz w:val="18"/>
          <w:szCs w:val="18"/>
        </w:rPr>
        <w:t>减记金融资产</w:t>
      </w:r>
      <w:proofErr w:type="gramEnd"/>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当本公司不再合理预期金融资产合同现金流量能够全部或部分收回的，直接</w:t>
      </w:r>
      <w:proofErr w:type="gramStart"/>
      <w:r>
        <w:rPr>
          <w:rFonts w:hint="eastAsia"/>
          <w:sz w:val="18"/>
          <w:szCs w:val="18"/>
        </w:rPr>
        <w:t>减记该</w:t>
      </w:r>
      <w:proofErr w:type="gramEnd"/>
      <w:r>
        <w:rPr>
          <w:rFonts w:hint="eastAsia"/>
          <w:sz w:val="18"/>
          <w:szCs w:val="18"/>
        </w:rPr>
        <w:t>金融资产的账面余额。这种</w:t>
      </w:r>
      <w:proofErr w:type="gramStart"/>
      <w:r>
        <w:rPr>
          <w:rFonts w:hint="eastAsia"/>
          <w:sz w:val="18"/>
          <w:szCs w:val="18"/>
        </w:rPr>
        <w:t>减记构成</w:t>
      </w:r>
      <w:proofErr w:type="gramEnd"/>
      <w:r>
        <w:rPr>
          <w:rFonts w:hint="eastAsia"/>
          <w:sz w:val="18"/>
          <w:szCs w:val="18"/>
        </w:rPr>
        <w:t>相关金融资产的终止确认。</w:t>
      </w:r>
    </w:p>
    <w:p w:rsidR="00BE788E" w:rsidRDefault="00BE788E" w:rsidP="00B362E5">
      <w:pPr>
        <w:widowControl/>
        <w:numPr>
          <w:ilvl w:val="0"/>
          <w:numId w:val="49"/>
        </w:numPr>
        <w:spacing w:before="100" w:beforeAutospacing="1" w:after="100" w:afterAutospacing="1"/>
        <w:divId w:val="116679010"/>
        <w:rPr>
          <w:sz w:val="18"/>
          <w:szCs w:val="18"/>
        </w:rPr>
      </w:pPr>
      <w:r>
        <w:rPr>
          <w:rFonts w:hint="eastAsia"/>
          <w:sz w:val="18"/>
          <w:szCs w:val="18"/>
        </w:rPr>
        <w:t>金融资产及金融负债的</w:t>
      </w:r>
      <w:proofErr w:type="gramStart"/>
      <w:r>
        <w:rPr>
          <w:rFonts w:hint="eastAsia"/>
          <w:sz w:val="18"/>
          <w:szCs w:val="18"/>
        </w:rPr>
        <w:t>抵销</w:t>
      </w:r>
      <w:proofErr w:type="gramEnd"/>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lastRenderedPageBreak/>
        <w:t>金融资产和金融负债在资产负债表内分别列示，没有相互</w:t>
      </w:r>
      <w:proofErr w:type="gramStart"/>
      <w:r>
        <w:rPr>
          <w:rFonts w:hint="eastAsia"/>
          <w:sz w:val="18"/>
          <w:szCs w:val="18"/>
        </w:rPr>
        <w:t>抵销</w:t>
      </w:r>
      <w:proofErr w:type="gramEnd"/>
      <w:r>
        <w:rPr>
          <w:rFonts w:hint="eastAsia"/>
          <w:sz w:val="18"/>
          <w:szCs w:val="18"/>
        </w:rPr>
        <w:t>。但是，同时满足下列条件的，以相互</w:t>
      </w:r>
      <w:proofErr w:type="gramStart"/>
      <w:r>
        <w:rPr>
          <w:rFonts w:hint="eastAsia"/>
          <w:sz w:val="18"/>
          <w:szCs w:val="18"/>
        </w:rPr>
        <w:t>抵销</w:t>
      </w:r>
      <w:proofErr w:type="gramEnd"/>
      <w:r>
        <w:rPr>
          <w:rFonts w:hint="eastAsia"/>
          <w:sz w:val="18"/>
          <w:szCs w:val="18"/>
        </w:rPr>
        <w:t>后的净额在资产负债表内列示：</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）本公司具有</w:t>
      </w:r>
      <w:proofErr w:type="gramStart"/>
      <w:r>
        <w:rPr>
          <w:rFonts w:hint="eastAsia"/>
          <w:sz w:val="18"/>
          <w:szCs w:val="18"/>
        </w:rPr>
        <w:t>抵销</w:t>
      </w:r>
      <w:proofErr w:type="gramEnd"/>
      <w:r>
        <w:rPr>
          <w:rFonts w:hint="eastAsia"/>
          <w:sz w:val="18"/>
          <w:szCs w:val="18"/>
        </w:rPr>
        <w:t>已确认金额的法定权利，且该种法定权利是当前可执行的；</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）本公司计划以净额结算，或同时变现该金融资产和清偿该金融负债。</w:t>
      </w:r>
    </w:p>
    <w:p w:rsidR="00037019" w:rsidRDefault="00BE788E">
      <w:pPr>
        <w:pStyle w:val="3"/>
        <w:spacing w:line="280" w:lineRule="exact"/>
        <w:jc w:val="left"/>
        <w:rPr>
          <w:rFonts w:ascii="宋体" w:hAnsi="宋体" w:cs="宋体"/>
          <w:b/>
          <w:bCs/>
        </w:rPr>
      </w:pPr>
      <w:bookmarkStart w:id="28" w:name="_Toc989018"/>
      <w:r>
        <w:rPr>
          <w:rFonts w:ascii="宋体" w:hAnsi="宋体" w:cs="宋体"/>
          <w:b/>
          <w:bCs/>
        </w:rPr>
        <w:t>12、应收票据</w:t>
      </w:r>
      <w:bookmarkEnd w:id="28"/>
    </w:p>
    <w:p w:rsidR="00BE788E" w:rsidRPr="00B362E5" w:rsidRDefault="00BE788E" w:rsidP="00B362E5">
      <w:pPr>
        <w:pStyle w:val="a3"/>
        <w:spacing w:before="0" w:beforeAutospacing="0" w:after="0" w:afterAutospacing="0"/>
        <w:ind w:firstLine="420"/>
        <w:jc w:val="both"/>
        <w:divId w:val="1107503604"/>
        <w:rPr>
          <w:rFonts w:asciiTheme="minorEastAsia" w:eastAsiaTheme="minorEastAsia" w:hAnsiTheme="minorEastAsia"/>
        </w:rPr>
      </w:pPr>
      <w:r w:rsidRPr="00B362E5">
        <w:rPr>
          <w:rFonts w:asciiTheme="minorEastAsia" w:eastAsiaTheme="minorEastAsia" w:hAnsiTheme="minorEastAsia" w:hint="eastAsia"/>
          <w:sz w:val="18"/>
          <w:szCs w:val="18"/>
        </w:rPr>
        <w:t>本公司对应收票据的预期信用损失的确定方法及会计处理方法详见（五）重要会计政策及会计估计</w:t>
      </w:r>
      <w:r w:rsidRPr="00B362E5">
        <w:rPr>
          <w:rFonts w:asciiTheme="minorEastAsia" w:eastAsiaTheme="minorEastAsia" w:hAnsiTheme="minorEastAsia" w:cs="Times New Roman"/>
          <w:sz w:val="18"/>
          <w:szCs w:val="18"/>
        </w:rPr>
        <w:t>11.</w:t>
      </w:r>
      <w:r w:rsidRPr="00B362E5">
        <w:rPr>
          <w:rFonts w:asciiTheme="minorEastAsia" w:eastAsiaTheme="minorEastAsia" w:hAnsiTheme="minorEastAsia" w:hint="eastAsia"/>
          <w:sz w:val="18"/>
          <w:szCs w:val="18"/>
        </w:rPr>
        <w:t>金融工具减值。</w:t>
      </w:r>
    </w:p>
    <w:p w:rsidR="00BE788E" w:rsidRPr="00B362E5" w:rsidRDefault="00BE788E" w:rsidP="00B362E5">
      <w:pPr>
        <w:pStyle w:val="a3"/>
        <w:spacing w:before="0" w:beforeAutospacing="0" w:after="0" w:afterAutospacing="0"/>
        <w:ind w:firstLine="420"/>
        <w:jc w:val="both"/>
        <w:divId w:val="1107503604"/>
        <w:rPr>
          <w:rFonts w:asciiTheme="minorEastAsia" w:eastAsiaTheme="minorEastAsia" w:hAnsiTheme="minorEastAsia"/>
        </w:rPr>
      </w:pPr>
      <w:r w:rsidRPr="00B362E5">
        <w:rPr>
          <w:rFonts w:asciiTheme="minorEastAsia" w:eastAsiaTheme="minorEastAsia" w:hAnsiTheme="minorEastAsia" w:hint="eastAsia"/>
          <w:sz w:val="18"/>
          <w:szCs w:val="18"/>
        </w:rPr>
        <w:t>本公司对单项金额重大且在初始确认后已经发生信用减值的应收票据单独确定其信用损失。</w:t>
      </w:r>
    </w:p>
    <w:p w:rsidR="00BE788E" w:rsidRPr="00B362E5" w:rsidRDefault="00BE788E" w:rsidP="00B362E5">
      <w:pPr>
        <w:pStyle w:val="a3"/>
        <w:spacing w:before="0" w:beforeAutospacing="0" w:after="0" w:afterAutospacing="0"/>
        <w:ind w:firstLine="420"/>
        <w:jc w:val="both"/>
        <w:divId w:val="1107503604"/>
        <w:rPr>
          <w:rFonts w:asciiTheme="minorEastAsia" w:eastAsiaTheme="minorEastAsia" w:hAnsiTheme="minorEastAsia"/>
        </w:rPr>
      </w:pPr>
      <w:r w:rsidRPr="00B362E5">
        <w:rPr>
          <w:rFonts w:asciiTheme="minorEastAsia" w:eastAsiaTheme="minorEastAsia" w:hAnsiTheme="minorEastAsia" w:hint="eastAsia"/>
          <w:sz w:val="18"/>
          <w:szCs w:val="18"/>
        </w:rPr>
        <w:t>当在单项工具层面无法以合理成本评估预期信用损失的充分证据时，本公司参考历史信用损失经验，结合当前状况以及对未来经济状况的判断，依据信用风险特征将应收票据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5|0|desc|||0|1"/>
      </w:tblPr>
      <w:tblGrid>
        <w:gridCol w:w="1384"/>
        <w:gridCol w:w="5337"/>
        <w:gridCol w:w="3132"/>
      </w:tblGrid>
      <w:tr w:rsidR="00BE788E" w:rsidTr="00B362E5">
        <w:trPr>
          <w:divId w:val="1107503604"/>
          <w:trHeight w:val="340"/>
        </w:trPr>
        <w:tc>
          <w:tcPr>
            <w:tcW w:w="1384" w:type="dxa"/>
            <w:tcBorders>
              <w:top w:val="single" w:sz="8" w:space="0" w:color="auto"/>
              <w:left w:val="single" w:sz="8" w:space="0" w:color="auto"/>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组合名称</w:t>
            </w:r>
          </w:p>
        </w:tc>
        <w:tc>
          <w:tcPr>
            <w:tcW w:w="5337"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确定组合的依据</w:t>
            </w:r>
          </w:p>
        </w:tc>
        <w:tc>
          <w:tcPr>
            <w:tcW w:w="3132"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计提方法</w:t>
            </w:r>
          </w:p>
        </w:tc>
      </w:tr>
      <w:tr w:rsidR="00BE788E" w:rsidTr="00B362E5">
        <w:trPr>
          <w:divId w:val="1107503604"/>
          <w:trHeight w:val="340"/>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pPr>
            <w:r>
              <w:rPr>
                <w:rFonts w:hint="eastAsia"/>
                <w:sz w:val="18"/>
                <w:szCs w:val="18"/>
              </w:rPr>
              <w:t>银行承兑汇票组合</w:t>
            </w:r>
          </w:p>
        </w:tc>
        <w:tc>
          <w:tcPr>
            <w:tcW w:w="5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出票人具有较高的信用评级，历史上未发生票据违约，信用损失风险极低，在短期内履行其支付合同现金流量义务的能力很强</w:t>
            </w:r>
          </w:p>
        </w:tc>
        <w:tc>
          <w:tcPr>
            <w:tcW w:w="3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参考历史信用损失经验不计提坏账准备</w:t>
            </w:r>
          </w:p>
        </w:tc>
      </w:tr>
      <w:tr w:rsidR="00BE788E" w:rsidTr="00B362E5">
        <w:trPr>
          <w:divId w:val="1107503604"/>
          <w:trHeight w:val="340"/>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pPr>
            <w:r>
              <w:rPr>
                <w:rFonts w:hint="eastAsia"/>
                <w:sz w:val="18"/>
                <w:szCs w:val="18"/>
              </w:rPr>
              <w:t>商业承兑汇票组合</w:t>
            </w:r>
          </w:p>
        </w:tc>
        <w:tc>
          <w:tcPr>
            <w:tcW w:w="5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在以前年度实际损失率、对未来回收应收票据风险的判断及信用风险特征分析</w:t>
            </w:r>
          </w:p>
        </w:tc>
        <w:tc>
          <w:tcPr>
            <w:tcW w:w="3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按照预期损失率计提减值准，与应收账款的组合划分相同</w:t>
            </w:r>
          </w:p>
        </w:tc>
      </w:tr>
    </w:tbl>
    <w:p w:rsidR="00037019" w:rsidRDefault="00BE788E">
      <w:pPr>
        <w:pStyle w:val="3"/>
        <w:spacing w:line="280" w:lineRule="exact"/>
        <w:jc w:val="left"/>
        <w:rPr>
          <w:rFonts w:ascii="宋体" w:hAnsi="宋体" w:cs="宋体"/>
          <w:b/>
          <w:bCs/>
        </w:rPr>
      </w:pPr>
      <w:bookmarkStart w:id="29" w:name="_Toc989019"/>
      <w:r>
        <w:rPr>
          <w:rFonts w:ascii="宋体" w:hAnsi="宋体" w:cs="宋体"/>
          <w:b/>
          <w:bCs/>
        </w:rPr>
        <w:t>13、应收账款</w:t>
      </w:r>
      <w:bookmarkEnd w:id="29"/>
    </w:p>
    <w:p w:rsidR="00BE788E" w:rsidRDefault="00BE788E" w:rsidP="00B362E5">
      <w:pPr>
        <w:pStyle w:val="a3"/>
        <w:spacing w:before="0" w:beforeAutospacing="0" w:after="0" w:afterAutospacing="0"/>
        <w:ind w:firstLine="420"/>
        <w:jc w:val="both"/>
        <w:divId w:val="1400521917"/>
      </w:pPr>
      <w:r>
        <w:rPr>
          <w:rFonts w:hint="eastAsia"/>
          <w:sz w:val="18"/>
          <w:szCs w:val="18"/>
        </w:rPr>
        <w:t>本公司对应收账款的预期信用损失的确定方法及会计处理方法详见（五）重要会计政策及会计估计</w:t>
      </w:r>
      <w:r>
        <w:rPr>
          <w:rFonts w:ascii="Times New Roman" w:hAnsi="Times New Roman" w:cs="Times New Roman"/>
          <w:sz w:val="18"/>
          <w:szCs w:val="18"/>
        </w:rPr>
        <w:t>11.</w:t>
      </w:r>
      <w:r>
        <w:rPr>
          <w:rFonts w:hint="eastAsia"/>
          <w:sz w:val="18"/>
          <w:szCs w:val="18"/>
        </w:rPr>
        <w:t>金融工具减值。</w:t>
      </w:r>
    </w:p>
    <w:p w:rsidR="00BE788E" w:rsidRDefault="00BE788E" w:rsidP="00B362E5">
      <w:pPr>
        <w:pStyle w:val="a3"/>
        <w:spacing w:before="0" w:beforeAutospacing="0" w:after="0" w:afterAutospacing="0"/>
        <w:ind w:firstLine="420"/>
        <w:jc w:val="both"/>
        <w:divId w:val="1400521917"/>
      </w:pPr>
      <w:r>
        <w:rPr>
          <w:rFonts w:hint="eastAsia"/>
          <w:sz w:val="18"/>
          <w:szCs w:val="18"/>
        </w:rPr>
        <w:t>本公司对单项金额重大且在初始确认后已经发生信用减值的应收账款单独确定其信用损失。</w:t>
      </w:r>
    </w:p>
    <w:p w:rsidR="00BE788E" w:rsidRDefault="00BE788E" w:rsidP="00B362E5">
      <w:pPr>
        <w:pStyle w:val="a3"/>
        <w:spacing w:before="0" w:beforeAutospacing="0" w:after="0" w:afterAutospacing="0"/>
        <w:ind w:firstLine="420"/>
        <w:jc w:val="both"/>
        <w:divId w:val="1400521917"/>
      </w:pPr>
      <w:r>
        <w:rPr>
          <w:rFonts w:hint="eastAsia"/>
          <w:sz w:val="18"/>
          <w:szCs w:val="18"/>
        </w:rPr>
        <w:t>当在单项工具层面无法以合理成本评估预期信用损失的充分证据时，本公司参考历史信用损失经验，结合当前状况以及对未来经济状况的判断，依据信用风险特征将应收账款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6|0|desc|||0|1"/>
      </w:tblPr>
      <w:tblGrid>
        <w:gridCol w:w="1242"/>
        <w:gridCol w:w="4395"/>
        <w:gridCol w:w="4216"/>
      </w:tblGrid>
      <w:tr w:rsidR="00BE788E">
        <w:trPr>
          <w:divId w:val="1400521917"/>
          <w:trHeight w:val="340"/>
        </w:trPr>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组合名称</w:t>
            </w:r>
          </w:p>
        </w:tc>
        <w:tc>
          <w:tcPr>
            <w:tcW w:w="4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确定组合的依据</w:t>
            </w:r>
          </w:p>
        </w:tc>
        <w:tc>
          <w:tcPr>
            <w:tcW w:w="4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计提方法</w:t>
            </w:r>
          </w:p>
        </w:tc>
      </w:tr>
      <w:tr w:rsidR="00BE788E">
        <w:trPr>
          <w:divId w:val="1400521917"/>
          <w:trHeight w:val="340"/>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风险组合</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本组合以应收账款的账</w:t>
            </w:r>
            <w:proofErr w:type="gramStart"/>
            <w:r>
              <w:rPr>
                <w:rFonts w:hint="eastAsia"/>
                <w:sz w:val="18"/>
                <w:szCs w:val="18"/>
              </w:rPr>
              <w:t>龄作为</w:t>
            </w:r>
            <w:proofErr w:type="gramEnd"/>
            <w:r>
              <w:rPr>
                <w:rFonts w:hint="eastAsia"/>
                <w:sz w:val="18"/>
                <w:szCs w:val="18"/>
              </w:rPr>
              <w:t>信用风险特征</w:t>
            </w:r>
          </w:p>
        </w:tc>
        <w:tc>
          <w:tcPr>
            <w:tcW w:w="4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参考历史信用损失经验，结合当前状况以及对未来经济状况的预期计量坏账准备</w:t>
            </w:r>
          </w:p>
        </w:tc>
      </w:tr>
      <w:tr w:rsidR="00BE788E">
        <w:trPr>
          <w:divId w:val="1400521917"/>
          <w:trHeight w:val="340"/>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性质组合</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根据业务性质，认定无信用风险，主要包括合并范围内关联方的款项、信用证结算的销售货款</w:t>
            </w:r>
          </w:p>
        </w:tc>
        <w:tc>
          <w:tcPr>
            <w:tcW w:w="4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参考历史信用损失经验，结合当前状况以及对未来经济状况的预期计量坏账准备</w:t>
            </w:r>
          </w:p>
        </w:tc>
      </w:tr>
    </w:tbl>
    <w:p w:rsidR="00037019" w:rsidRDefault="00BE788E">
      <w:pPr>
        <w:pStyle w:val="3"/>
        <w:spacing w:line="280" w:lineRule="exact"/>
        <w:jc w:val="left"/>
        <w:rPr>
          <w:rFonts w:ascii="宋体" w:hAnsi="宋体" w:cs="宋体"/>
          <w:b/>
          <w:bCs/>
        </w:rPr>
      </w:pPr>
      <w:bookmarkStart w:id="30" w:name="_Toc989020"/>
      <w:r>
        <w:rPr>
          <w:rFonts w:ascii="宋体" w:hAnsi="宋体" w:cs="宋体"/>
          <w:b/>
          <w:bCs/>
        </w:rPr>
        <w:t>14、应收款项融资</w:t>
      </w:r>
      <w:bookmarkEnd w:id="30"/>
    </w:p>
    <w:p w:rsidR="00BE788E" w:rsidRPr="00B362E5" w:rsidRDefault="00BE788E" w:rsidP="00B362E5">
      <w:pPr>
        <w:pStyle w:val="a3"/>
        <w:spacing w:before="0" w:beforeAutospacing="0" w:after="0" w:afterAutospacing="0"/>
        <w:ind w:firstLine="420"/>
        <w:jc w:val="both"/>
        <w:divId w:val="720634603"/>
        <w:rPr>
          <w:sz w:val="18"/>
          <w:szCs w:val="18"/>
        </w:rPr>
      </w:pPr>
      <w:r>
        <w:rPr>
          <w:rFonts w:hint="eastAsia"/>
          <w:sz w:val="18"/>
          <w:szCs w:val="18"/>
        </w:rPr>
        <w:t>分类为以公允价值计量且其变动计入其他综合收益的应收票据和应收账款，自初始确认日起到期期限在一年内（含一年）的，列示为应收款项融资；自初始确认日起到期期限在一年以上的，列示为其他债权投资。其相关会计政策详见（五）重要会计政策及会计估计。</w:t>
      </w:r>
    </w:p>
    <w:p w:rsidR="00BE788E" w:rsidRPr="00B362E5" w:rsidRDefault="00BE788E" w:rsidP="00B362E5">
      <w:pPr>
        <w:pStyle w:val="a3"/>
        <w:spacing w:before="0" w:beforeAutospacing="0" w:after="0" w:afterAutospacing="0"/>
        <w:ind w:firstLine="420"/>
        <w:jc w:val="both"/>
        <w:divId w:val="720634603"/>
        <w:rPr>
          <w:sz w:val="18"/>
          <w:szCs w:val="18"/>
        </w:rPr>
      </w:pPr>
      <w:r>
        <w:rPr>
          <w:rFonts w:hint="eastAsia"/>
          <w:sz w:val="18"/>
          <w:szCs w:val="18"/>
        </w:rPr>
        <w:t>本公司对应收款项融资的预期信用损失的确定方法及会计处理方法详见（五）重要会计政策及会计估计</w:t>
      </w:r>
      <w:r w:rsidRPr="00B362E5">
        <w:rPr>
          <w:sz w:val="18"/>
          <w:szCs w:val="18"/>
        </w:rPr>
        <w:t>11.</w:t>
      </w:r>
      <w:r>
        <w:rPr>
          <w:rFonts w:hint="eastAsia"/>
          <w:sz w:val="18"/>
          <w:szCs w:val="18"/>
        </w:rPr>
        <w:t>金融工具减值。</w:t>
      </w:r>
    </w:p>
    <w:p w:rsidR="00BE788E" w:rsidRPr="00B362E5" w:rsidRDefault="00BE788E" w:rsidP="00B362E5">
      <w:pPr>
        <w:pStyle w:val="a3"/>
        <w:spacing w:before="0" w:beforeAutospacing="0" w:after="0" w:afterAutospacing="0"/>
        <w:ind w:firstLine="420"/>
        <w:jc w:val="both"/>
        <w:divId w:val="720634603"/>
        <w:rPr>
          <w:sz w:val="18"/>
          <w:szCs w:val="18"/>
        </w:rPr>
      </w:pPr>
      <w:r>
        <w:rPr>
          <w:rFonts w:hint="eastAsia"/>
          <w:sz w:val="18"/>
          <w:szCs w:val="18"/>
        </w:rPr>
        <w:t>本公司对单项金额重大且在初始确认后已经发生信用减值的应收款项融资单独确定其信用损失。</w:t>
      </w:r>
    </w:p>
    <w:p w:rsidR="00BE788E" w:rsidRPr="00B362E5" w:rsidRDefault="00BE788E" w:rsidP="00B362E5">
      <w:pPr>
        <w:pStyle w:val="a3"/>
        <w:spacing w:before="0" w:beforeAutospacing="0" w:after="0" w:afterAutospacing="0"/>
        <w:ind w:firstLine="420"/>
        <w:jc w:val="both"/>
        <w:divId w:val="720634603"/>
        <w:rPr>
          <w:sz w:val="18"/>
          <w:szCs w:val="18"/>
        </w:rPr>
      </w:pPr>
      <w:r>
        <w:rPr>
          <w:rFonts w:hint="eastAsia"/>
          <w:sz w:val="18"/>
          <w:szCs w:val="18"/>
        </w:rPr>
        <w:t>当在单项工具层面无法以合理成本评估预期信用损失的充分证据时，本公司参考历史信用损失经验，结合当前状况以及对未来经济状况的判断，依据信用风险特征将应收账款划分为若干组合。</w:t>
      </w:r>
    </w:p>
    <w:p w:rsidR="00037019" w:rsidRDefault="00BE788E">
      <w:pPr>
        <w:pStyle w:val="3"/>
        <w:spacing w:line="280" w:lineRule="exact"/>
        <w:jc w:val="left"/>
        <w:rPr>
          <w:rFonts w:ascii="宋体" w:hAnsi="宋体" w:cs="宋体"/>
          <w:b/>
          <w:bCs/>
        </w:rPr>
      </w:pPr>
      <w:bookmarkStart w:id="31" w:name="_Toc989021"/>
      <w:r>
        <w:rPr>
          <w:rFonts w:ascii="宋体" w:hAnsi="宋体" w:cs="宋体"/>
          <w:b/>
          <w:bCs/>
        </w:rPr>
        <w:lastRenderedPageBreak/>
        <w:t>15、其他应收款</w:t>
      </w:r>
      <w:bookmarkEnd w:id="31"/>
    </w:p>
    <w:p w:rsidR="00037019" w:rsidRDefault="00BE788E" w:rsidP="00B362E5">
      <w:pPr>
        <w:pStyle w:val="a3"/>
        <w:spacing w:before="0" w:beforeAutospacing="0" w:after="0" w:afterAutospacing="0"/>
        <w:ind w:firstLine="420"/>
        <w:jc w:val="both"/>
        <w:rPr>
          <w:sz w:val="18"/>
          <w:szCs w:val="18"/>
        </w:rPr>
      </w:pPr>
      <w:r>
        <w:rPr>
          <w:sz w:val="18"/>
          <w:szCs w:val="18"/>
        </w:rPr>
        <w:t>其他应收款的预期信用损失的确定方法及会计处理方法</w:t>
      </w:r>
    </w:p>
    <w:p w:rsidR="00BE788E" w:rsidRPr="00B362E5" w:rsidRDefault="00BE788E" w:rsidP="00B362E5">
      <w:pPr>
        <w:pStyle w:val="a3"/>
        <w:spacing w:before="0" w:beforeAutospacing="0" w:after="0" w:afterAutospacing="0"/>
        <w:ind w:firstLine="420"/>
        <w:jc w:val="both"/>
        <w:divId w:val="206841309"/>
        <w:rPr>
          <w:sz w:val="18"/>
          <w:szCs w:val="18"/>
        </w:rPr>
      </w:pPr>
      <w:r>
        <w:rPr>
          <w:rFonts w:hint="eastAsia"/>
          <w:sz w:val="18"/>
          <w:szCs w:val="18"/>
        </w:rPr>
        <w:t>本公司对其他应收款的预期信用损失的确定方法及会计处理方法详见（五）重要会计政策及会计估计</w:t>
      </w:r>
      <w:r w:rsidRPr="00B362E5">
        <w:rPr>
          <w:sz w:val="18"/>
          <w:szCs w:val="18"/>
        </w:rPr>
        <w:t>11.</w:t>
      </w:r>
      <w:r>
        <w:rPr>
          <w:rFonts w:hint="eastAsia"/>
          <w:sz w:val="18"/>
          <w:szCs w:val="18"/>
        </w:rPr>
        <w:t>金融工具减值。</w:t>
      </w:r>
    </w:p>
    <w:p w:rsidR="00BE788E" w:rsidRPr="00B362E5" w:rsidRDefault="00BE788E" w:rsidP="00B362E5">
      <w:pPr>
        <w:pStyle w:val="a3"/>
        <w:spacing w:before="0" w:beforeAutospacing="0" w:after="0" w:afterAutospacing="0"/>
        <w:ind w:firstLine="420"/>
        <w:jc w:val="both"/>
        <w:divId w:val="206841309"/>
        <w:rPr>
          <w:sz w:val="18"/>
          <w:szCs w:val="18"/>
        </w:rPr>
      </w:pPr>
      <w:r>
        <w:rPr>
          <w:rFonts w:hint="eastAsia"/>
          <w:sz w:val="18"/>
          <w:szCs w:val="18"/>
        </w:rPr>
        <w:t>本公司对单项金额重大且在初始确认后已经发生信用减值的其他应收款单独确定其信用损失。</w:t>
      </w:r>
    </w:p>
    <w:p w:rsidR="00BE788E" w:rsidRPr="00B362E5" w:rsidRDefault="00BE788E" w:rsidP="00B362E5">
      <w:pPr>
        <w:pStyle w:val="a3"/>
        <w:spacing w:before="0" w:beforeAutospacing="0" w:after="0" w:afterAutospacing="0"/>
        <w:ind w:firstLine="420"/>
        <w:jc w:val="both"/>
        <w:divId w:val="206841309"/>
        <w:rPr>
          <w:sz w:val="18"/>
          <w:szCs w:val="18"/>
        </w:rPr>
      </w:pPr>
      <w:r>
        <w:rPr>
          <w:rFonts w:hint="eastAsia"/>
          <w:sz w:val="18"/>
          <w:szCs w:val="18"/>
        </w:rPr>
        <w:t>当在单项工具层面无法以合理成本评估预期信用损失的充分证据时，本公司参考历史信用损失经验，结合当前状况以及对未来经济状况的判断，依据信用风险特征将其他应收款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8|0|desc|||0|1"/>
      </w:tblPr>
      <w:tblGrid>
        <w:gridCol w:w="959"/>
        <w:gridCol w:w="4252"/>
        <w:gridCol w:w="4642"/>
      </w:tblGrid>
      <w:tr w:rsidR="00BE788E" w:rsidTr="00B362E5">
        <w:trPr>
          <w:divId w:val="206841309"/>
          <w:trHeight w:val="340"/>
        </w:trPr>
        <w:tc>
          <w:tcPr>
            <w:tcW w:w="959" w:type="dxa"/>
            <w:tcBorders>
              <w:top w:val="single" w:sz="8" w:space="0" w:color="auto"/>
              <w:left w:val="single" w:sz="8" w:space="0" w:color="auto"/>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组合名称</w:t>
            </w:r>
          </w:p>
        </w:tc>
        <w:tc>
          <w:tcPr>
            <w:tcW w:w="4252"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确定组合的依据</w:t>
            </w:r>
          </w:p>
        </w:tc>
        <w:tc>
          <w:tcPr>
            <w:tcW w:w="4642"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计提方法</w:t>
            </w:r>
          </w:p>
        </w:tc>
      </w:tr>
      <w:tr w:rsidR="00BE788E" w:rsidTr="00B362E5">
        <w:trPr>
          <w:divId w:val="206841309"/>
          <w:trHeight w:val="340"/>
        </w:trPr>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风险组合</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本组合以其他应收款的账</w:t>
            </w:r>
            <w:proofErr w:type="gramStart"/>
            <w:r>
              <w:rPr>
                <w:rFonts w:hint="eastAsia"/>
                <w:sz w:val="18"/>
                <w:szCs w:val="18"/>
              </w:rPr>
              <w:t>龄作为</w:t>
            </w:r>
            <w:proofErr w:type="gramEnd"/>
            <w:r>
              <w:rPr>
                <w:rFonts w:hint="eastAsia"/>
                <w:sz w:val="18"/>
                <w:szCs w:val="18"/>
              </w:rPr>
              <w:t>信用风险特征</w:t>
            </w:r>
          </w:p>
        </w:tc>
        <w:tc>
          <w:tcPr>
            <w:tcW w:w="4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参考历史信用损失经验，结合当前状况以及对未来经济状况的预期计量坏账准备</w:t>
            </w:r>
          </w:p>
        </w:tc>
      </w:tr>
      <w:tr w:rsidR="00BE788E" w:rsidTr="00B362E5">
        <w:trPr>
          <w:divId w:val="206841309"/>
          <w:trHeight w:val="340"/>
        </w:trPr>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性质组合</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根据业务性质，主要包括合并范围内关联方、出口退税款等</w:t>
            </w:r>
          </w:p>
        </w:tc>
        <w:tc>
          <w:tcPr>
            <w:tcW w:w="4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参考历史信用损失经验，结合当前状况以及对未来经济状况的预期计量坏账准备</w:t>
            </w:r>
          </w:p>
        </w:tc>
      </w:tr>
    </w:tbl>
    <w:p w:rsidR="00037019" w:rsidRDefault="00BE788E">
      <w:pPr>
        <w:pStyle w:val="3"/>
        <w:spacing w:line="280" w:lineRule="exact"/>
        <w:jc w:val="left"/>
        <w:rPr>
          <w:rFonts w:ascii="宋体" w:hAnsi="宋体" w:cs="宋体"/>
          <w:b/>
          <w:bCs/>
        </w:rPr>
      </w:pPr>
      <w:bookmarkStart w:id="32" w:name="_Toc989022"/>
      <w:r>
        <w:rPr>
          <w:rFonts w:ascii="宋体" w:hAnsi="宋体" w:cs="宋体"/>
          <w:b/>
          <w:bCs/>
        </w:rPr>
        <w:t>16、合同资产</w:t>
      </w:r>
      <w:bookmarkEnd w:id="32"/>
    </w:p>
    <w:p w:rsidR="00BE788E" w:rsidRDefault="00BE788E" w:rsidP="00B362E5">
      <w:pPr>
        <w:pStyle w:val="a3"/>
        <w:spacing w:before="0" w:beforeAutospacing="0" w:after="0" w:afterAutospacing="0"/>
        <w:divId w:val="892694806"/>
      </w:pPr>
      <w:r>
        <w:rPr>
          <w:rFonts w:hint="eastAsia"/>
          <w:sz w:val="18"/>
          <w:szCs w:val="18"/>
        </w:rPr>
        <w:t>   本公司已向客户转让商品而有权收取对价的权利，且该权利取决于时间流逝之外的其他因素的，确认为合同资产。本公司拥有的无条件</w:t>
      </w:r>
      <w:r>
        <w:rPr>
          <w:rFonts w:ascii="Times New Roman" w:hAnsi="Times New Roman" w:cs="Times New Roman"/>
          <w:sz w:val="18"/>
          <w:szCs w:val="18"/>
        </w:rPr>
        <w:t>(</w:t>
      </w:r>
      <w:r>
        <w:rPr>
          <w:rFonts w:hint="eastAsia"/>
          <w:sz w:val="18"/>
          <w:szCs w:val="18"/>
        </w:rPr>
        <w:t>即，仅取决于时间流逝</w:t>
      </w:r>
      <w:r>
        <w:rPr>
          <w:rFonts w:ascii="Times New Roman" w:hAnsi="Times New Roman" w:cs="Times New Roman"/>
          <w:sz w:val="18"/>
          <w:szCs w:val="18"/>
        </w:rPr>
        <w:t>)</w:t>
      </w:r>
      <w:r>
        <w:rPr>
          <w:rFonts w:hint="eastAsia"/>
          <w:sz w:val="18"/>
          <w:szCs w:val="18"/>
        </w:rPr>
        <w:t>向客户收取对价的权利作为应收款项单独列示。</w:t>
      </w:r>
    </w:p>
    <w:p w:rsidR="00BE788E" w:rsidRDefault="00BE788E" w:rsidP="00B362E5">
      <w:pPr>
        <w:pStyle w:val="a3"/>
        <w:spacing w:before="0" w:beforeAutospacing="0" w:after="0" w:afterAutospacing="0"/>
        <w:ind w:firstLine="420"/>
        <w:jc w:val="both"/>
        <w:divId w:val="238948692"/>
      </w:pPr>
      <w:r>
        <w:rPr>
          <w:rFonts w:hint="eastAsia"/>
          <w:sz w:val="18"/>
          <w:szCs w:val="18"/>
        </w:rPr>
        <w:t>本公司对合同资产的预期信用损失的确定方法及会计处理方法详见（五）重要会计政策及会计估计</w:t>
      </w:r>
      <w:r>
        <w:rPr>
          <w:rFonts w:ascii="Times New Roman" w:hAnsi="Times New Roman" w:cs="Times New Roman"/>
          <w:sz w:val="18"/>
          <w:szCs w:val="18"/>
        </w:rPr>
        <w:t>11.</w:t>
      </w:r>
      <w:r>
        <w:rPr>
          <w:rFonts w:hint="eastAsia"/>
          <w:sz w:val="18"/>
          <w:szCs w:val="18"/>
        </w:rPr>
        <w:t>金融工具减值。</w:t>
      </w:r>
    </w:p>
    <w:p w:rsidR="00BE788E" w:rsidRDefault="00BE788E" w:rsidP="00B362E5">
      <w:pPr>
        <w:pStyle w:val="a3"/>
        <w:spacing w:before="0" w:beforeAutospacing="0" w:after="0" w:afterAutospacing="0"/>
        <w:ind w:firstLine="420"/>
        <w:jc w:val="both"/>
        <w:divId w:val="238948692"/>
      </w:pPr>
      <w:r>
        <w:rPr>
          <w:rFonts w:hint="eastAsia"/>
          <w:sz w:val="18"/>
          <w:szCs w:val="18"/>
        </w:rPr>
        <w:t>本公司对单项金额重大且在初始确认后已经发生信用减值的合同资产单独确定其信用损失。</w:t>
      </w:r>
    </w:p>
    <w:p w:rsidR="00BE788E" w:rsidRDefault="00BE788E" w:rsidP="00B362E5">
      <w:pPr>
        <w:pStyle w:val="a3"/>
        <w:spacing w:before="0" w:beforeAutospacing="0" w:after="0" w:afterAutospacing="0"/>
        <w:ind w:firstLine="420"/>
        <w:jc w:val="both"/>
        <w:divId w:val="238948692"/>
      </w:pPr>
      <w:r>
        <w:rPr>
          <w:rFonts w:hint="eastAsia"/>
          <w:sz w:val="18"/>
          <w:szCs w:val="18"/>
        </w:rPr>
        <w:t>当在单项工具层面无法以合理成本评估预期信用损失的充分证据时，本公司参考历史信用损失经验，结合当前状况以及对未来经济状况的判断，依据信用风险特征将合同资产划分为若干组合，在组合基础上计算预期信用损失。</w:t>
      </w:r>
    </w:p>
    <w:p w:rsidR="00037019" w:rsidRDefault="00BE788E">
      <w:pPr>
        <w:pStyle w:val="3"/>
        <w:spacing w:line="280" w:lineRule="exact"/>
        <w:jc w:val="left"/>
        <w:rPr>
          <w:rFonts w:ascii="宋体" w:hAnsi="宋体" w:cs="宋体"/>
          <w:b/>
          <w:bCs/>
        </w:rPr>
      </w:pPr>
      <w:bookmarkStart w:id="33" w:name="_Toc989023"/>
      <w:r>
        <w:rPr>
          <w:rFonts w:ascii="宋体" w:hAnsi="宋体" w:cs="宋体"/>
          <w:b/>
          <w:bCs/>
        </w:rPr>
        <w:t>17、存货</w:t>
      </w:r>
      <w:bookmarkEnd w:id="33"/>
    </w:p>
    <w:p w:rsidR="00BE788E" w:rsidRDefault="00BE788E" w:rsidP="00B362E5">
      <w:pPr>
        <w:widowControl/>
        <w:numPr>
          <w:ilvl w:val="2"/>
          <w:numId w:val="50"/>
        </w:numPr>
        <w:tabs>
          <w:tab w:val="clear" w:pos="2160"/>
          <w:tab w:val="num" w:pos="426"/>
        </w:tabs>
        <w:spacing w:before="100" w:beforeAutospacing="1" w:after="100" w:afterAutospacing="1"/>
        <w:ind w:left="0" w:firstLine="426"/>
        <w:divId w:val="1621841540"/>
        <w:rPr>
          <w:sz w:val="18"/>
          <w:szCs w:val="18"/>
        </w:rPr>
      </w:pPr>
      <w:r>
        <w:rPr>
          <w:rFonts w:hint="eastAsia"/>
          <w:sz w:val="18"/>
          <w:szCs w:val="18"/>
        </w:rPr>
        <w:t>存货类别、发出计价方法、盘存制度、低值易耗品和包装物的摊销方法</w:t>
      </w:r>
    </w:p>
    <w:p w:rsidR="00BE788E" w:rsidRDefault="00BE788E">
      <w:pPr>
        <w:widowControl/>
        <w:numPr>
          <w:ilvl w:val="0"/>
          <w:numId w:val="51"/>
        </w:numPr>
        <w:divId w:val="1621841540"/>
        <w:rPr>
          <w:rFonts w:ascii="Calibri" w:hAnsi="Calibri" w:cs="Calibri"/>
          <w:szCs w:val="21"/>
        </w:rPr>
      </w:pPr>
      <w:r>
        <w:rPr>
          <w:rFonts w:cs="Calibri" w:hint="eastAsia"/>
          <w:sz w:val="18"/>
          <w:szCs w:val="18"/>
        </w:rPr>
        <w:t>存货类别</w:t>
      </w:r>
    </w:p>
    <w:p w:rsidR="00BE788E" w:rsidRDefault="00BE788E" w:rsidP="00B362E5">
      <w:pPr>
        <w:pStyle w:val="a3"/>
        <w:spacing w:before="0" w:beforeAutospacing="0" w:after="0" w:afterAutospacing="0"/>
        <w:ind w:firstLine="420"/>
        <w:jc w:val="both"/>
        <w:divId w:val="1621841540"/>
      </w:pPr>
      <w:r>
        <w:rPr>
          <w:rFonts w:hint="eastAsia"/>
          <w:sz w:val="18"/>
          <w:szCs w:val="18"/>
        </w:rPr>
        <w:t>存货是指本公司在日常活动中持有以备出售的产成品或商品、处在生产过程中的在产品、在生产过程或提供劳务过程中耗用的材料和物料等。主要包括原材料、周转材料、委托加工物资、在产品、自制半成品、产成品（库存商品）、发出商品等。</w:t>
      </w:r>
    </w:p>
    <w:p w:rsidR="00BE788E" w:rsidRDefault="00BE788E">
      <w:pPr>
        <w:widowControl/>
        <w:numPr>
          <w:ilvl w:val="0"/>
          <w:numId w:val="52"/>
        </w:numPr>
        <w:divId w:val="1621841540"/>
        <w:rPr>
          <w:rFonts w:ascii="Calibri" w:hAnsi="Calibri" w:cs="Calibri"/>
          <w:szCs w:val="21"/>
        </w:rPr>
      </w:pPr>
      <w:r>
        <w:rPr>
          <w:rFonts w:cs="Calibri" w:hint="eastAsia"/>
          <w:sz w:val="18"/>
          <w:szCs w:val="18"/>
        </w:rPr>
        <w:t>存货发出计价方法</w:t>
      </w:r>
    </w:p>
    <w:p w:rsidR="00BE788E" w:rsidRPr="00B362E5" w:rsidRDefault="00BE788E" w:rsidP="00B362E5">
      <w:pPr>
        <w:pStyle w:val="a3"/>
        <w:spacing w:before="0" w:beforeAutospacing="0" w:after="0" w:afterAutospacing="0"/>
        <w:ind w:firstLine="420"/>
        <w:jc w:val="both"/>
        <w:divId w:val="1621841540"/>
        <w:rPr>
          <w:sz w:val="18"/>
          <w:szCs w:val="18"/>
        </w:rPr>
      </w:pPr>
      <w:r>
        <w:rPr>
          <w:rFonts w:hint="eastAsia"/>
          <w:sz w:val="18"/>
          <w:szCs w:val="18"/>
        </w:rPr>
        <w:t>存货在取得时，按成本进行初始计量，包括采购成本、加工成本和其他成本。存货发出时按移动加权平均法计价。</w:t>
      </w:r>
    </w:p>
    <w:p w:rsidR="00BE788E" w:rsidRDefault="00BE788E">
      <w:pPr>
        <w:widowControl/>
        <w:numPr>
          <w:ilvl w:val="0"/>
          <w:numId w:val="53"/>
        </w:numPr>
        <w:divId w:val="1621841540"/>
        <w:rPr>
          <w:rFonts w:ascii="Calibri" w:hAnsi="Calibri" w:cs="Calibri"/>
          <w:szCs w:val="21"/>
        </w:rPr>
      </w:pPr>
      <w:r>
        <w:rPr>
          <w:rFonts w:cs="Calibri" w:hint="eastAsia"/>
          <w:sz w:val="18"/>
          <w:szCs w:val="18"/>
        </w:rPr>
        <w:t>存货的盘存制度</w:t>
      </w:r>
    </w:p>
    <w:p w:rsidR="00BE788E" w:rsidRDefault="00BE788E">
      <w:pPr>
        <w:pStyle w:val="a3"/>
        <w:spacing w:before="0" w:beforeAutospacing="0" w:after="0" w:afterAutospacing="0" w:line="360" w:lineRule="auto"/>
        <w:ind w:firstLine="420"/>
        <w:jc w:val="both"/>
        <w:divId w:val="1621841540"/>
      </w:pPr>
      <w:r>
        <w:rPr>
          <w:rFonts w:hint="eastAsia"/>
          <w:sz w:val="18"/>
          <w:szCs w:val="18"/>
        </w:rPr>
        <w:t>存货盘存制度为永续盘存制。</w:t>
      </w:r>
    </w:p>
    <w:p w:rsidR="00BE788E" w:rsidRDefault="00BE788E">
      <w:pPr>
        <w:widowControl/>
        <w:numPr>
          <w:ilvl w:val="0"/>
          <w:numId w:val="54"/>
        </w:numPr>
        <w:divId w:val="1621841540"/>
        <w:rPr>
          <w:rFonts w:ascii="Calibri" w:hAnsi="Calibri" w:cs="Calibri"/>
          <w:szCs w:val="21"/>
        </w:rPr>
      </w:pPr>
      <w:r>
        <w:rPr>
          <w:rFonts w:cs="Calibri" w:hint="eastAsia"/>
          <w:sz w:val="18"/>
          <w:szCs w:val="18"/>
        </w:rPr>
        <w:t>低值易耗品和包装物的摊销方法</w:t>
      </w:r>
    </w:p>
    <w:p w:rsidR="00BE788E" w:rsidRDefault="00BE788E">
      <w:pPr>
        <w:pStyle w:val="a3"/>
        <w:spacing w:before="0" w:beforeAutospacing="0" w:after="0" w:afterAutospacing="0" w:line="360" w:lineRule="auto"/>
        <w:ind w:left="420"/>
        <w:jc w:val="both"/>
        <w:divId w:val="1621841540"/>
      </w:pPr>
      <w:r>
        <w:rPr>
          <w:rFonts w:ascii="Times New Roman" w:hAnsi="Times New Roman" w:cs="Times New Roman"/>
          <w:sz w:val="18"/>
          <w:szCs w:val="18"/>
        </w:rPr>
        <w:t>1</w:t>
      </w:r>
      <w:r>
        <w:rPr>
          <w:rFonts w:hint="eastAsia"/>
          <w:sz w:val="18"/>
          <w:szCs w:val="18"/>
        </w:rPr>
        <w:t>）低值易耗品采用一次转销法进行摊销；</w:t>
      </w:r>
    </w:p>
    <w:p w:rsidR="00BE788E" w:rsidRDefault="00BE788E">
      <w:pPr>
        <w:pStyle w:val="a3"/>
        <w:spacing w:before="0" w:beforeAutospacing="0" w:after="0" w:afterAutospacing="0" w:line="360" w:lineRule="auto"/>
        <w:ind w:left="420"/>
        <w:jc w:val="both"/>
        <w:divId w:val="1621841540"/>
      </w:pPr>
      <w:r>
        <w:rPr>
          <w:rFonts w:ascii="Times New Roman" w:hAnsi="Times New Roman" w:cs="Times New Roman"/>
          <w:sz w:val="18"/>
          <w:szCs w:val="18"/>
        </w:rPr>
        <w:t>2</w:t>
      </w:r>
      <w:r>
        <w:rPr>
          <w:rFonts w:hint="eastAsia"/>
          <w:sz w:val="18"/>
          <w:szCs w:val="18"/>
        </w:rPr>
        <w:t>）包装物采用一次转销法进行摊销。</w:t>
      </w:r>
    </w:p>
    <w:p w:rsidR="00BE788E" w:rsidRDefault="00BE788E">
      <w:pPr>
        <w:pStyle w:val="a3"/>
        <w:spacing w:before="0" w:beforeAutospacing="0" w:after="0" w:afterAutospacing="0" w:line="360" w:lineRule="auto"/>
        <w:ind w:left="420"/>
        <w:jc w:val="both"/>
        <w:divId w:val="1621841540"/>
      </w:pPr>
      <w:r>
        <w:rPr>
          <w:rFonts w:ascii="Times New Roman" w:hAnsi="Times New Roman" w:cs="Times New Roman"/>
          <w:sz w:val="18"/>
          <w:szCs w:val="18"/>
        </w:rPr>
        <w:t>3</w:t>
      </w:r>
      <w:r>
        <w:rPr>
          <w:rFonts w:hint="eastAsia"/>
          <w:sz w:val="18"/>
          <w:szCs w:val="18"/>
        </w:rPr>
        <w:t>）其他周转材料采用一次转销法进行摊销。</w:t>
      </w:r>
    </w:p>
    <w:p w:rsidR="00BE788E" w:rsidRDefault="00BE788E" w:rsidP="00B362E5">
      <w:pPr>
        <w:widowControl/>
        <w:numPr>
          <w:ilvl w:val="2"/>
          <w:numId w:val="55"/>
        </w:numPr>
        <w:tabs>
          <w:tab w:val="clear" w:pos="2160"/>
          <w:tab w:val="num" w:pos="426"/>
        </w:tabs>
        <w:spacing w:before="100" w:beforeAutospacing="1" w:after="100" w:afterAutospacing="1"/>
        <w:ind w:left="0" w:firstLine="426"/>
        <w:divId w:val="1621841540"/>
        <w:rPr>
          <w:sz w:val="18"/>
          <w:szCs w:val="18"/>
        </w:rPr>
      </w:pPr>
      <w:r>
        <w:rPr>
          <w:rFonts w:hint="eastAsia"/>
          <w:sz w:val="18"/>
          <w:szCs w:val="18"/>
        </w:rPr>
        <w:t>存货跌价准备的确认标准和计提方法</w:t>
      </w:r>
    </w:p>
    <w:p w:rsidR="00BE788E" w:rsidRPr="00B362E5" w:rsidRDefault="00BE788E" w:rsidP="00B362E5">
      <w:pPr>
        <w:pStyle w:val="a3"/>
        <w:spacing w:before="0" w:beforeAutospacing="0" w:after="0" w:afterAutospacing="0"/>
        <w:ind w:firstLine="420"/>
        <w:jc w:val="both"/>
        <w:divId w:val="1621841540"/>
        <w:rPr>
          <w:sz w:val="18"/>
          <w:szCs w:val="18"/>
        </w:rPr>
      </w:pPr>
      <w:proofErr w:type="gramStart"/>
      <w:r>
        <w:rPr>
          <w:rFonts w:hint="eastAsia"/>
          <w:sz w:val="18"/>
          <w:szCs w:val="18"/>
        </w:rPr>
        <w:lastRenderedPageBreak/>
        <w:t>期末对</w:t>
      </w:r>
      <w:proofErr w:type="gramEnd"/>
      <w:r>
        <w:rPr>
          <w:rFonts w:hint="eastAsia"/>
          <w:sz w:val="18"/>
          <w:szCs w:val="18"/>
        </w:rPr>
        <w:t>存货进行全面清查后，按存货的成本与可变现净值孰低提取或调整存货跌价准备。产成品、库存商品和用于出售的材料等直接用于出售的商品存货，在正常生产经营过程中，以该存货的估计售价减去估计的销售费用和相关税费后的金额，确定其可变现净值；需要经过加工的材料存货，在正常生产经营过程中，以所生产的产成品的估计售价减去至完工时估计将要发生的成本、估计的销售费用和相关税费后的金额，确定其可变现净值；为执行销售合同或者劳务合同而持有的存货，其可变现净值以合同价格为基础计算，若持有存货的数量多于销售合同订购数量的，超出部分的存货的可变现净值以一般销售价格为基础计算。</w:t>
      </w:r>
    </w:p>
    <w:p w:rsidR="00BE788E" w:rsidRPr="00B362E5" w:rsidRDefault="00BE788E" w:rsidP="00B362E5">
      <w:pPr>
        <w:pStyle w:val="a3"/>
        <w:spacing w:before="0" w:beforeAutospacing="0" w:after="0" w:afterAutospacing="0"/>
        <w:ind w:firstLine="420"/>
        <w:jc w:val="both"/>
        <w:divId w:val="1621841540"/>
        <w:rPr>
          <w:sz w:val="18"/>
          <w:szCs w:val="18"/>
        </w:rPr>
      </w:pPr>
      <w:r>
        <w:rPr>
          <w:rFonts w:hint="eastAsia"/>
          <w:sz w:val="18"/>
          <w:szCs w:val="18"/>
        </w:rPr>
        <w:t>期末按照单个存货项目计提存货跌价准备；但对于数量繁多、单价较低的存货，按照存货类别计提存货跌价准备；与在同一地区生产和销售的产品系列相关、具有相同或类似最终用途或目的，且难以与其他项目分开计量的存货，则合并计提存货跌价准备。</w:t>
      </w:r>
    </w:p>
    <w:p w:rsidR="00BE788E" w:rsidRPr="00B362E5" w:rsidRDefault="00BE788E" w:rsidP="00B362E5">
      <w:pPr>
        <w:pStyle w:val="a3"/>
        <w:spacing w:before="0" w:beforeAutospacing="0" w:after="0" w:afterAutospacing="0"/>
        <w:ind w:firstLine="420"/>
        <w:jc w:val="both"/>
        <w:divId w:val="1621841540"/>
        <w:rPr>
          <w:sz w:val="18"/>
          <w:szCs w:val="18"/>
        </w:rPr>
      </w:pPr>
      <w:proofErr w:type="gramStart"/>
      <w:r>
        <w:rPr>
          <w:rFonts w:hint="eastAsia"/>
          <w:sz w:val="18"/>
          <w:szCs w:val="18"/>
        </w:rPr>
        <w:t>以前减记</w:t>
      </w:r>
      <w:proofErr w:type="gramEnd"/>
      <w:r>
        <w:rPr>
          <w:rFonts w:hint="eastAsia"/>
          <w:sz w:val="18"/>
          <w:szCs w:val="18"/>
        </w:rPr>
        <w:t>存货价值的影响因素已经消失的，</w:t>
      </w:r>
      <w:proofErr w:type="gramStart"/>
      <w:r>
        <w:rPr>
          <w:rFonts w:hint="eastAsia"/>
          <w:sz w:val="18"/>
          <w:szCs w:val="18"/>
        </w:rPr>
        <w:t>减记的</w:t>
      </w:r>
      <w:proofErr w:type="gramEnd"/>
      <w:r>
        <w:rPr>
          <w:rFonts w:hint="eastAsia"/>
          <w:sz w:val="18"/>
          <w:szCs w:val="18"/>
        </w:rPr>
        <w:t>金额予以恢复，并在原已计提的存货跌价准备金额内转回，转回的金额计入当期损益。</w:t>
      </w:r>
    </w:p>
    <w:p w:rsidR="00037019" w:rsidRDefault="00BE788E">
      <w:pPr>
        <w:pStyle w:val="3"/>
        <w:spacing w:line="280" w:lineRule="exact"/>
        <w:jc w:val="left"/>
        <w:rPr>
          <w:rFonts w:ascii="宋体" w:hAnsi="宋体" w:cs="宋体"/>
          <w:b/>
          <w:bCs/>
        </w:rPr>
      </w:pPr>
      <w:bookmarkStart w:id="34" w:name="_Toc989024"/>
      <w:r>
        <w:rPr>
          <w:rFonts w:ascii="宋体" w:hAnsi="宋体" w:cs="宋体"/>
          <w:b/>
          <w:bCs/>
        </w:rPr>
        <w:t>18、持有待售资产</w:t>
      </w:r>
      <w:bookmarkEnd w:id="34"/>
    </w:p>
    <w:p w:rsidR="00BE788E" w:rsidRDefault="00BE788E">
      <w:pPr>
        <w:widowControl/>
        <w:numPr>
          <w:ilvl w:val="0"/>
          <w:numId w:val="56"/>
        </w:numPr>
        <w:spacing w:before="100" w:beforeAutospacing="1" w:after="100" w:afterAutospacing="1"/>
        <w:divId w:val="141265920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划分为持有待售确认标准</w:t>
      </w:r>
    </w:p>
    <w:p w:rsidR="00BE788E" w:rsidRPr="00B362E5" w:rsidRDefault="00BE788E" w:rsidP="00B362E5">
      <w:pPr>
        <w:pStyle w:val="a3"/>
        <w:spacing w:before="0" w:beforeAutospacing="0" w:after="0" w:afterAutospacing="0"/>
        <w:ind w:firstLine="420"/>
        <w:jc w:val="both"/>
        <w:divId w:val="1412659204"/>
        <w:rPr>
          <w:sz w:val="18"/>
          <w:szCs w:val="18"/>
        </w:rPr>
      </w:pPr>
      <w:r>
        <w:rPr>
          <w:rFonts w:hint="eastAsia"/>
          <w:sz w:val="18"/>
          <w:szCs w:val="18"/>
        </w:rPr>
        <w:t>本公司将同时满足下列条件的非流动资产或</w:t>
      </w:r>
      <w:proofErr w:type="gramStart"/>
      <w:r>
        <w:rPr>
          <w:rFonts w:hint="eastAsia"/>
          <w:sz w:val="18"/>
          <w:szCs w:val="18"/>
        </w:rPr>
        <w:t>处置组</w:t>
      </w:r>
      <w:proofErr w:type="gramEnd"/>
      <w:r>
        <w:rPr>
          <w:rFonts w:hint="eastAsia"/>
          <w:sz w:val="18"/>
          <w:szCs w:val="18"/>
        </w:rPr>
        <w:t>确认为持有待售组成部分：</w:t>
      </w:r>
    </w:p>
    <w:p w:rsidR="00BE788E" w:rsidRPr="00B362E5" w:rsidRDefault="00BE788E" w:rsidP="00B362E5">
      <w:pPr>
        <w:pStyle w:val="a3"/>
        <w:spacing w:before="0" w:beforeAutospacing="0" w:after="0" w:afterAutospacing="0"/>
        <w:ind w:firstLine="420"/>
        <w:jc w:val="both"/>
        <w:divId w:val="1412659204"/>
        <w:rPr>
          <w:sz w:val="18"/>
          <w:szCs w:val="18"/>
        </w:rPr>
      </w:pPr>
      <w:r>
        <w:rPr>
          <w:rFonts w:hint="eastAsia"/>
          <w:sz w:val="18"/>
          <w:szCs w:val="18"/>
        </w:rPr>
        <w:t>（</w:t>
      </w:r>
      <w:r w:rsidRPr="00B362E5">
        <w:rPr>
          <w:sz w:val="18"/>
          <w:szCs w:val="18"/>
        </w:rPr>
        <w:t>1</w:t>
      </w:r>
      <w:r>
        <w:rPr>
          <w:rFonts w:hint="eastAsia"/>
          <w:sz w:val="18"/>
          <w:szCs w:val="18"/>
        </w:rPr>
        <w:t>）根据类似交易中出售此类资产或</w:t>
      </w:r>
      <w:proofErr w:type="gramStart"/>
      <w:r>
        <w:rPr>
          <w:rFonts w:hint="eastAsia"/>
          <w:sz w:val="18"/>
          <w:szCs w:val="18"/>
        </w:rPr>
        <w:t>处置组</w:t>
      </w:r>
      <w:proofErr w:type="gramEnd"/>
      <w:r>
        <w:rPr>
          <w:rFonts w:hint="eastAsia"/>
          <w:sz w:val="18"/>
          <w:szCs w:val="18"/>
        </w:rPr>
        <w:t>的惯例，在当前状况下即可立即出售；</w:t>
      </w:r>
    </w:p>
    <w:p w:rsidR="00BE788E" w:rsidRPr="00B362E5" w:rsidRDefault="00BE788E" w:rsidP="00B362E5">
      <w:pPr>
        <w:pStyle w:val="a3"/>
        <w:spacing w:before="0" w:beforeAutospacing="0" w:after="0" w:afterAutospacing="0"/>
        <w:ind w:firstLine="420"/>
        <w:jc w:val="both"/>
        <w:divId w:val="1412659204"/>
        <w:rPr>
          <w:sz w:val="18"/>
          <w:szCs w:val="18"/>
        </w:rPr>
      </w:pPr>
      <w:r>
        <w:rPr>
          <w:rFonts w:hint="eastAsia"/>
          <w:sz w:val="18"/>
          <w:szCs w:val="18"/>
        </w:rPr>
        <w:t>（</w:t>
      </w:r>
      <w:r w:rsidRPr="00B362E5">
        <w:rPr>
          <w:sz w:val="18"/>
          <w:szCs w:val="18"/>
        </w:rPr>
        <w:t>2</w:t>
      </w:r>
      <w:r>
        <w:rPr>
          <w:rFonts w:hint="eastAsia"/>
          <w:sz w:val="18"/>
          <w:szCs w:val="18"/>
        </w:rPr>
        <w:t>）</w:t>
      </w:r>
      <w:proofErr w:type="gramStart"/>
      <w:r>
        <w:rPr>
          <w:rFonts w:hint="eastAsia"/>
          <w:sz w:val="18"/>
          <w:szCs w:val="18"/>
        </w:rPr>
        <w:t>出售极</w:t>
      </w:r>
      <w:proofErr w:type="gramEnd"/>
      <w:r>
        <w:rPr>
          <w:rFonts w:hint="eastAsia"/>
          <w:sz w:val="18"/>
          <w:szCs w:val="18"/>
        </w:rPr>
        <w:t>可能发生，即本公司已经就一项出售计划</w:t>
      </w:r>
      <w:proofErr w:type="gramStart"/>
      <w:r>
        <w:rPr>
          <w:rFonts w:hint="eastAsia"/>
          <w:sz w:val="18"/>
          <w:szCs w:val="18"/>
        </w:rPr>
        <w:t>作出</w:t>
      </w:r>
      <w:proofErr w:type="gramEnd"/>
      <w:r>
        <w:rPr>
          <w:rFonts w:hint="eastAsia"/>
          <w:sz w:val="18"/>
          <w:szCs w:val="18"/>
        </w:rPr>
        <w:t>决议，并已获得监管部门批准，且获得确定的购买承诺，预计出售将在一年内完成。</w:t>
      </w:r>
    </w:p>
    <w:p w:rsidR="00BE788E" w:rsidRPr="00B362E5" w:rsidRDefault="00BE788E" w:rsidP="00B362E5">
      <w:pPr>
        <w:pStyle w:val="a3"/>
        <w:spacing w:before="0" w:beforeAutospacing="0" w:after="0" w:afterAutospacing="0"/>
        <w:ind w:firstLine="420"/>
        <w:jc w:val="both"/>
        <w:divId w:val="1412659204"/>
        <w:rPr>
          <w:sz w:val="18"/>
          <w:szCs w:val="18"/>
        </w:rPr>
      </w:pPr>
      <w:r>
        <w:rPr>
          <w:rFonts w:hint="eastAsia"/>
          <w:sz w:val="18"/>
          <w:szCs w:val="18"/>
        </w:rPr>
        <w:t>确定的购买承诺，是指本公司与其他方签订的具有法律约束力的购买协议，该协议包含交易价格、时间和足够严厉的违约惩罚等重要条款，使协议出现重大调整或者撤销的可能性极小。</w:t>
      </w:r>
    </w:p>
    <w:p w:rsidR="00BE788E" w:rsidRDefault="00BE788E">
      <w:pPr>
        <w:widowControl/>
        <w:numPr>
          <w:ilvl w:val="0"/>
          <w:numId w:val="57"/>
        </w:numPr>
        <w:spacing w:before="100" w:beforeAutospacing="1" w:after="100" w:afterAutospacing="1"/>
        <w:divId w:val="141265920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持有待售核算方法</w:t>
      </w:r>
    </w:p>
    <w:p w:rsidR="00BE788E" w:rsidRPr="00B362E5" w:rsidRDefault="00BE788E" w:rsidP="00B362E5">
      <w:pPr>
        <w:pStyle w:val="a3"/>
        <w:spacing w:before="0" w:beforeAutospacing="0" w:after="0" w:afterAutospacing="0"/>
        <w:ind w:firstLine="420"/>
        <w:jc w:val="both"/>
        <w:divId w:val="1412659204"/>
        <w:rPr>
          <w:sz w:val="18"/>
          <w:szCs w:val="18"/>
        </w:rPr>
      </w:pPr>
      <w:r>
        <w:rPr>
          <w:rFonts w:hint="eastAsia"/>
          <w:sz w:val="18"/>
          <w:szCs w:val="18"/>
        </w:rPr>
        <w:t>本公司对于持有待售的非流动资产或</w:t>
      </w:r>
      <w:proofErr w:type="gramStart"/>
      <w:r>
        <w:rPr>
          <w:rFonts w:hint="eastAsia"/>
          <w:sz w:val="18"/>
          <w:szCs w:val="18"/>
        </w:rPr>
        <w:t>处置组不计</w:t>
      </w:r>
      <w:proofErr w:type="gramEnd"/>
      <w:r>
        <w:rPr>
          <w:rFonts w:hint="eastAsia"/>
          <w:sz w:val="18"/>
          <w:szCs w:val="18"/>
        </w:rPr>
        <w:t>提折旧或摊销，其账面价值高于公允价值减去出售费用后的净额的，应当将账面价值</w:t>
      </w:r>
      <w:proofErr w:type="gramStart"/>
      <w:r>
        <w:rPr>
          <w:rFonts w:hint="eastAsia"/>
          <w:sz w:val="18"/>
          <w:szCs w:val="18"/>
        </w:rPr>
        <w:t>减记至</w:t>
      </w:r>
      <w:proofErr w:type="gramEnd"/>
      <w:r>
        <w:rPr>
          <w:rFonts w:hint="eastAsia"/>
          <w:sz w:val="18"/>
          <w:szCs w:val="18"/>
        </w:rPr>
        <w:t>公允价值减去出售费用后的净额，</w:t>
      </w:r>
      <w:proofErr w:type="gramStart"/>
      <w:r>
        <w:rPr>
          <w:rFonts w:hint="eastAsia"/>
          <w:sz w:val="18"/>
          <w:szCs w:val="18"/>
        </w:rPr>
        <w:t>减记的</w:t>
      </w:r>
      <w:proofErr w:type="gramEnd"/>
      <w:r>
        <w:rPr>
          <w:rFonts w:hint="eastAsia"/>
          <w:sz w:val="18"/>
          <w:szCs w:val="18"/>
        </w:rPr>
        <w:t>金额确认为资产减值损失，计入当期损益，同时计提持有待售资产减值准备。</w:t>
      </w:r>
    </w:p>
    <w:p w:rsidR="00BE788E" w:rsidRPr="00B362E5" w:rsidRDefault="00BE788E" w:rsidP="00B362E5">
      <w:pPr>
        <w:pStyle w:val="a3"/>
        <w:spacing w:before="0" w:beforeAutospacing="0" w:after="0" w:afterAutospacing="0"/>
        <w:ind w:firstLine="420"/>
        <w:jc w:val="both"/>
        <w:divId w:val="1412659204"/>
        <w:rPr>
          <w:sz w:val="18"/>
          <w:szCs w:val="18"/>
        </w:rPr>
      </w:pPr>
      <w:r>
        <w:rPr>
          <w:rFonts w:hint="eastAsia"/>
          <w:sz w:val="18"/>
          <w:szCs w:val="18"/>
        </w:rPr>
        <w:t>对于取得日划分为持有待售类别的非流动资产或处置组，在初始计量时比较假定其不划分为持有待售类别情况下的初始计量金额和公允价值减去出售费用后的净额，以两者孰低计量。</w:t>
      </w:r>
    </w:p>
    <w:p w:rsidR="00BE788E" w:rsidRPr="00B362E5" w:rsidRDefault="00BE788E" w:rsidP="00B362E5">
      <w:pPr>
        <w:pStyle w:val="a3"/>
        <w:spacing w:before="0" w:beforeAutospacing="0" w:after="0" w:afterAutospacing="0"/>
        <w:ind w:firstLine="420"/>
        <w:jc w:val="both"/>
        <w:divId w:val="1412659204"/>
        <w:rPr>
          <w:sz w:val="18"/>
          <w:szCs w:val="18"/>
        </w:rPr>
      </w:pPr>
      <w:r>
        <w:rPr>
          <w:rFonts w:hint="eastAsia"/>
          <w:sz w:val="18"/>
          <w:szCs w:val="18"/>
        </w:rPr>
        <w:t>上述原则适用于所有非流动资产，但不包括采用公允价值模式进行后续计量的投资性房地产、采用公允价值减去出售费用后的净额计量的生物资产、职工薪</w:t>
      </w:r>
      <w:proofErr w:type="gramStart"/>
      <w:r>
        <w:rPr>
          <w:rFonts w:hint="eastAsia"/>
          <w:sz w:val="18"/>
          <w:szCs w:val="18"/>
        </w:rPr>
        <w:t>酬</w:t>
      </w:r>
      <w:proofErr w:type="gramEnd"/>
      <w:r>
        <w:rPr>
          <w:rFonts w:hint="eastAsia"/>
          <w:sz w:val="18"/>
          <w:szCs w:val="18"/>
        </w:rPr>
        <w:t>形成的资产、递延所得税资产、由金融工具相关会计准则规范的金融资产、由保险合同相关会计准则规范的保险合同所产生的权利。</w:t>
      </w:r>
    </w:p>
    <w:p w:rsidR="00037019" w:rsidRDefault="00BE788E">
      <w:pPr>
        <w:pStyle w:val="3"/>
        <w:spacing w:line="280" w:lineRule="exact"/>
        <w:jc w:val="left"/>
        <w:rPr>
          <w:rFonts w:ascii="宋体" w:hAnsi="宋体" w:cs="宋体"/>
          <w:b/>
          <w:bCs/>
        </w:rPr>
      </w:pPr>
      <w:bookmarkStart w:id="35" w:name="_Toc989025"/>
      <w:r>
        <w:rPr>
          <w:rFonts w:ascii="宋体" w:hAnsi="宋体" w:cs="宋体"/>
          <w:b/>
          <w:bCs/>
        </w:rPr>
        <w:t>19、债权投资</w:t>
      </w:r>
      <w:bookmarkEnd w:id="35"/>
    </w:p>
    <w:p w:rsidR="00BE788E" w:rsidRPr="00B362E5" w:rsidRDefault="00BE788E" w:rsidP="00B362E5">
      <w:pPr>
        <w:pStyle w:val="a3"/>
        <w:spacing w:before="0" w:beforeAutospacing="0" w:after="0" w:afterAutospacing="0"/>
        <w:ind w:firstLine="420"/>
        <w:jc w:val="both"/>
        <w:divId w:val="1637177452"/>
        <w:rPr>
          <w:sz w:val="18"/>
          <w:szCs w:val="18"/>
        </w:rPr>
      </w:pPr>
      <w:r>
        <w:rPr>
          <w:rFonts w:hint="eastAsia"/>
          <w:sz w:val="18"/>
          <w:szCs w:val="18"/>
        </w:rPr>
        <w:t>本公司对债权投资的预期信用损失的确定方法及会计处理方法详见（五）重要会计政策及会计估计11</w:t>
      </w:r>
      <w:r w:rsidRPr="00B362E5">
        <w:rPr>
          <w:sz w:val="18"/>
          <w:szCs w:val="18"/>
        </w:rPr>
        <w:t>.</w:t>
      </w:r>
      <w:r>
        <w:rPr>
          <w:rFonts w:hint="eastAsia"/>
          <w:sz w:val="18"/>
          <w:szCs w:val="18"/>
        </w:rPr>
        <w:t>金融工具减值。</w:t>
      </w:r>
    </w:p>
    <w:p w:rsidR="00037019" w:rsidRDefault="00BE788E">
      <w:pPr>
        <w:pStyle w:val="3"/>
        <w:spacing w:line="280" w:lineRule="exact"/>
        <w:jc w:val="left"/>
        <w:rPr>
          <w:rFonts w:ascii="宋体" w:hAnsi="宋体" w:cs="宋体"/>
          <w:b/>
          <w:bCs/>
        </w:rPr>
      </w:pPr>
      <w:bookmarkStart w:id="36" w:name="_Toc989026"/>
      <w:r>
        <w:rPr>
          <w:rFonts w:ascii="宋体" w:hAnsi="宋体" w:cs="宋体"/>
          <w:b/>
          <w:bCs/>
        </w:rPr>
        <w:t>20、其他债权投资</w:t>
      </w:r>
      <w:bookmarkEnd w:id="36"/>
    </w:p>
    <w:p w:rsidR="00BE788E" w:rsidRPr="00B362E5" w:rsidRDefault="00BE788E" w:rsidP="00B362E5">
      <w:pPr>
        <w:pStyle w:val="a3"/>
        <w:spacing w:before="0" w:beforeAutospacing="0" w:after="0" w:afterAutospacing="0"/>
        <w:ind w:firstLine="420"/>
        <w:jc w:val="both"/>
        <w:divId w:val="1129203353"/>
        <w:rPr>
          <w:sz w:val="18"/>
          <w:szCs w:val="18"/>
        </w:rPr>
      </w:pPr>
      <w:r>
        <w:rPr>
          <w:rFonts w:hint="eastAsia"/>
          <w:sz w:val="18"/>
          <w:szCs w:val="18"/>
        </w:rPr>
        <w:t>本公司对其他债权投资的预期信用损失的确定方法及会计处理方法详见（五）重要会计政策及会计估计11</w:t>
      </w:r>
      <w:r w:rsidRPr="00B362E5">
        <w:rPr>
          <w:sz w:val="18"/>
          <w:szCs w:val="18"/>
        </w:rPr>
        <w:t>.</w:t>
      </w:r>
      <w:r>
        <w:rPr>
          <w:rFonts w:hint="eastAsia"/>
          <w:sz w:val="18"/>
          <w:szCs w:val="18"/>
        </w:rPr>
        <w:t xml:space="preserve">金融工具减值。 </w:t>
      </w:r>
    </w:p>
    <w:p w:rsidR="00037019" w:rsidRDefault="00BE788E">
      <w:pPr>
        <w:pStyle w:val="3"/>
        <w:spacing w:line="280" w:lineRule="exact"/>
        <w:jc w:val="left"/>
        <w:rPr>
          <w:rFonts w:ascii="宋体" w:hAnsi="宋体" w:cs="宋体"/>
          <w:b/>
          <w:bCs/>
        </w:rPr>
      </w:pPr>
      <w:bookmarkStart w:id="37" w:name="_Toc989027"/>
      <w:r>
        <w:rPr>
          <w:rFonts w:ascii="宋体" w:hAnsi="宋体" w:cs="宋体"/>
          <w:b/>
          <w:bCs/>
        </w:rPr>
        <w:lastRenderedPageBreak/>
        <w:t>21、长期应收款</w:t>
      </w:r>
      <w:bookmarkEnd w:id="37"/>
    </w:p>
    <w:p w:rsidR="00BE788E" w:rsidRPr="00B362E5" w:rsidRDefault="00BE788E" w:rsidP="00B362E5">
      <w:pPr>
        <w:pStyle w:val="a3"/>
        <w:spacing w:before="0" w:beforeAutospacing="0" w:after="0" w:afterAutospacing="0"/>
        <w:ind w:firstLine="420"/>
        <w:jc w:val="both"/>
        <w:divId w:val="1069495761"/>
        <w:rPr>
          <w:sz w:val="18"/>
          <w:szCs w:val="18"/>
        </w:rPr>
      </w:pPr>
      <w:r>
        <w:rPr>
          <w:rFonts w:hint="eastAsia"/>
          <w:sz w:val="18"/>
          <w:szCs w:val="18"/>
        </w:rPr>
        <w:t>本公司对长期应收款的预期信用损失的确定方法及会计处理方法详见（五）重要会计政策及会计估计11</w:t>
      </w:r>
      <w:r w:rsidRPr="00B362E5">
        <w:rPr>
          <w:sz w:val="18"/>
          <w:szCs w:val="18"/>
        </w:rPr>
        <w:t>.</w:t>
      </w:r>
      <w:r>
        <w:rPr>
          <w:rFonts w:hint="eastAsia"/>
          <w:sz w:val="18"/>
          <w:szCs w:val="18"/>
        </w:rPr>
        <w:t>金融工具减值。</w:t>
      </w:r>
    </w:p>
    <w:p w:rsidR="00BE788E" w:rsidRPr="00B362E5" w:rsidRDefault="00BE788E" w:rsidP="00B362E5">
      <w:pPr>
        <w:pStyle w:val="a3"/>
        <w:spacing w:before="0" w:beforeAutospacing="0" w:after="0" w:afterAutospacing="0"/>
        <w:ind w:firstLine="420"/>
        <w:jc w:val="both"/>
        <w:divId w:val="1069495761"/>
        <w:rPr>
          <w:sz w:val="18"/>
          <w:szCs w:val="18"/>
        </w:rPr>
      </w:pPr>
      <w:r>
        <w:rPr>
          <w:rFonts w:hint="eastAsia"/>
          <w:sz w:val="18"/>
          <w:szCs w:val="18"/>
        </w:rPr>
        <w:t>本公司对单项金额重大且在初始确认后已经发生信用减值的长期应收款单独确定其信用损失。</w:t>
      </w:r>
    </w:p>
    <w:p w:rsidR="00BE788E" w:rsidRPr="00B362E5" w:rsidRDefault="00BE788E" w:rsidP="00B362E5">
      <w:pPr>
        <w:pStyle w:val="a3"/>
        <w:spacing w:before="0" w:beforeAutospacing="0" w:after="0" w:afterAutospacing="0"/>
        <w:ind w:firstLine="420"/>
        <w:jc w:val="both"/>
        <w:divId w:val="1069495761"/>
        <w:rPr>
          <w:sz w:val="18"/>
          <w:szCs w:val="18"/>
        </w:rPr>
      </w:pPr>
      <w:r>
        <w:rPr>
          <w:rFonts w:hint="eastAsia"/>
          <w:sz w:val="18"/>
          <w:szCs w:val="18"/>
        </w:rPr>
        <w:t>当在单项工具层面无法以合理成本评估预期信用损失的充分证据时，本公司参考历史信用损失经验，结合当前状况以及对未来经济状况的判断，依据信用风险特征将长期应收款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10|0|desc|||0|1"/>
      </w:tblPr>
      <w:tblGrid>
        <w:gridCol w:w="1553"/>
        <w:gridCol w:w="3942"/>
        <w:gridCol w:w="4358"/>
      </w:tblGrid>
      <w:tr w:rsidR="00BE788E" w:rsidTr="00B362E5">
        <w:trPr>
          <w:divId w:val="1069495761"/>
          <w:trHeight w:val="340"/>
        </w:trPr>
        <w:tc>
          <w:tcPr>
            <w:tcW w:w="1553" w:type="dxa"/>
            <w:tcBorders>
              <w:top w:val="single" w:sz="8" w:space="0" w:color="auto"/>
              <w:left w:val="single" w:sz="8" w:space="0" w:color="auto"/>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组合名称</w:t>
            </w:r>
          </w:p>
        </w:tc>
        <w:tc>
          <w:tcPr>
            <w:tcW w:w="3942"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确定组合的依据</w:t>
            </w:r>
          </w:p>
        </w:tc>
        <w:tc>
          <w:tcPr>
            <w:tcW w:w="4358"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计提方法</w:t>
            </w:r>
          </w:p>
        </w:tc>
      </w:tr>
      <w:tr w:rsidR="00BE788E">
        <w:trPr>
          <w:divId w:val="1069495761"/>
          <w:trHeight w:val="340"/>
        </w:trPr>
        <w:tc>
          <w:tcPr>
            <w:tcW w:w="15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风险组合</w:t>
            </w:r>
          </w:p>
        </w:tc>
        <w:tc>
          <w:tcPr>
            <w:tcW w:w="3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本组合以长期应收款的账</w:t>
            </w:r>
            <w:proofErr w:type="gramStart"/>
            <w:r>
              <w:rPr>
                <w:rFonts w:hint="eastAsia"/>
                <w:sz w:val="18"/>
                <w:szCs w:val="18"/>
              </w:rPr>
              <w:t>龄作为</w:t>
            </w:r>
            <w:proofErr w:type="gramEnd"/>
            <w:r>
              <w:rPr>
                <w:rFonts w:hint="eastAsia"/>
                <w:sz w:val="18"/>
                <w:szCs w:val="18"/>
              </w:rPr>
              <w:t>信用风险特征</w:t>
            </w:r>
          </w:p>
        </w:tc>
        <w:tc>
          <w:tcPr>
            <w:tcW w:w="4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参考历史信用损失经验，结合当前状况以及对未来经济状况的预期计量坏账准备</w:t>
            </w:r>
          </w:p>
        </w:tc>
      </w:tr>
      <w:tr w:rsidR="00BE788E">
        <w:trPr>
          <w:divId w:val="1069495761"/>
          <w:trHeight w:val="340"/>
        </w:trPr>
        <w:tc>
          <w:tcPr>
            <w:tcW w:w="15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性质组合</w:t>
            </w:r>
          </w:p>
        </w:tc>
        <w:tc>
          <w:tcPr>
            <w:tcW w:w="3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根据业务性质，主要包括合并范围内关联方的款项、出口退税款</w:t>
            </w:r>
          </w:p>
        </w:tc>
        <w:tc>
          <w:tcPr>
            <w:tcW w:w="4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参考历史信用损失经验，结合当前状况以及对未来经济状况的预期计量坏账准备</w:t>
            </w:r>
          </w:p>
        </w:tc>
      </w:tr>
    </w:tbl>
    <w:p w:rsidR="00037019" w:rsidRDefault="00BE788E">
      <w:pPr>
        <w:pStyle w:val="3"/>
        <w:spacing w:line="280" w:lineRule="exact"/>
        <w:jc w:val="left"/>
        <w:rPr>
          <w:rFonts w:ascii="宋体" w:hAnsi="宋体" w:cs="宋体"/>
          <w:b/>
          <w:bCs/>
        </w:rPr>
      </w:pPr>
      <w:bookmarkStart w:id="38" w:name="_Toc989028"/>
      <w:r>
        <w:rPr>
          <w:rFonts w:ascii="宋体" w:hAnsi="宋体" w:cs="宋体"/>
          <w:b/>
          <w:bCs/>
        </w:rPr>
        <w:t>22、长期股权投资</w:t>
      </w:r>
      <w:bookmarkEnd w:id="38"/>
    </w:p>
    <w:p w:rsidR="00BE788E" w:rsidRDefault="00BE788E">
      <w:pPr>
        <w:widowControl/>
        <w:numPr>
          <w:ilvl w:val="0"/>
          <w:numId w:val="58"/>
        </w:numPr>
        <w:spacing w:before="100" w:beforeAutospacing="1" w:after="100" w:afterAutospacing="1"/>
        <w:divId w:val="388649103"/>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初始投资成本的确定</w:t>
      </w:r>
    </w:p>
    <w:p w:rsidR="00BE788E" w:rsidRDefault="00BE788E" w:rsidP="00B362E5">
      <w:pPr>
        <w:pStyle w:val="a3"/>
        <w:spacing w:before="0" w:beforeAutospacing="0" w:after="0" w:afterAutospacing="0"/>
        <w:ind w:firstLine="420"/>
        <w:jc w:val="both"/>
        <w:divId w:val="388649103"/>
      </w:pPr>
      <w:r>
        <w:rPr>
          <w:rFonts w:hint="eastAsia"/>
          <w:sz w:val="18"/>
          <w:szCs w:val="18"/>
        </w:rPr>
        <w:t>（</w:t>
      </w:r>
      <w:r>
        <w:rPr>
          <w:rFonts w:ascii="Times New Roman" w:hAnsi="Times New Roman" w:cs="Times New Roman"/>
          <w:sz w:val="18"/>
          <w:szCs w:val="18"/>
        </w:rPr>
        <w:t>1</w:t>
      </w:r>
      <w:r>
        <w:rPr>
          <w:rFonts w:hint="eastAsia"/>
          <w:sz w:val="18"/>
          <w:szCs w:val="18"/>
        </w:rPr>
        <w:t>）企业合并形成的长期股权投资，具体会计政策详见6.同</w:t>
      </w:r>
      <w:proofErr w:type="gramStart"/>
      <w:r>
        <w:rPr>
          <w:rFonts w:hint="eastAsia"/>
          <w:sz w:val="18"/>
          <w:szCs w:val="18"/>
        </w:rPr>
        <w:t>一控制</w:t>
      </w:r>
      <w:proofErr w:type="gramEnd"/>
      <w:r>
        <w:rPr>
          <w:rFonts w:hint="eastAsia"/>
          <w:sz w:val="18"/>
          <w:szCs w:val="18"/>
        </w:rPr>
        <w:t>下和非同</w:t>
      </w:r>
      <w:proofErr w:type="gramStart"/>
      <w:r>
        <w:rPr>
          <w:rFonts w:hint="eastAsia"/>
          <w:sz w:val="18"/>
          <w:szCs w:val="18"/>
        </w:rPr>
        <w:t>一控制</w:t>
      </w:r>
      <w:proofErr w:type="gramEnd"/>
      <w:r>
        <w:rPr>
          <w:rFonts w:hint="eastAsia"/>
          <w:sz w:val="18"/>
          <w:szCs w:val="18"/>
        </w:rPr>
        <w:t>下企业合并的会计处理方法。</w:t>
      </w:r>
    </w:p>
    <w:p w:rsidR="00BE788E" w:rsidRDefault="00BE788E" w:rsidP="00B362E5">
      <w:pPr>
        <w:pStyle w:val="a3"/>
        <w:spacing w:before="0" w:beforeAutospacing="0" w:after="0" w:afterAutospacing="0"/>
        <w:ind w:firstLine="420"/>
        <w:jc w:val="both"/>
        <w:divId w:val="388649103"/>
      </w:pPr>
      <w:r>
        <w:rPr>
          <w:rFonts w:hint="eastAsia"/>
          <w:sz w:val="18"/>
          <w:szCs w:val="18"/>
        </w:rPr>
        <w:t>（</w:t>
      </w:r>
      <w:r>
        <w:rPr>
          <w:rFonts w:ascii="Times New Roman" w:hAnsi="Times New Roman" w:cs="Times New Roman"/>
          <w:sz w:val="18"/>
          <w:szCs w:val="18"/>
        </w:rPr>
        <w:t>2</w:t>
      </w:r>
      <w:r>
        <w:rPr>
          <w:rFonts w:hint="eastAsia"/>
          <w:sz w:val="18"/>
          <w:szCs w:val="18"/>
        </w:rPr>
        <w:t>）其他方式取得的长期股权投资</w:t>
      </w:r>
    </w:p>
    <w:p w:rsidR="00BE788E" w:rsidRDefault="00BE788E" w:rsidP="00B362E5">
      <w:pPr>
        <w:pStyle w:val="a3"/>
        <w:spacing w:before="0" w:beforeAutospacing="0" w:after="0" w:afterAutospacing="0"/>
        <w:ind w:firstLine="420"/>
        <w:jc w:val="both"/>
        <w:divId w:val="388649103"/>
      </w:pPr>
      <w:r>
        <w:rPr>
          <w:rFonts w:hint="eastAsia"/>
          <w:sz w:val="18"/>
          <w:szCs w:val="18"/>
        </w:rPr>
        <w:t>以支付现金方式取得的长期股权投资，按照实际支付的购买价款作为初始投资成本。初始投资成本包括与取得长期股权投资直接相关的费用、税金及其他必要支出。</w:t>
      </w:r>
    </w:p>
    <w:p w:rsidR="00BE788E" w:rsidRDefault="00BE788E" w:rsidP="00B362E5">
      <w:pPr>
        <w:pStyle w:val="a3"/>
        <w:spacing w:before="0" w:beforeAutospacing="0" w:after="0" w:afterAutospacing="0"/>
        <w:ind w:firstLine="420"/>
        <w:jc w:val="both"/>
        <w:divId w:val="388649103"/>
      </w:pPr>
      <w:r>
        <w:rPr>
          <w:rFonts w:hint="eastAsia"/>
          <w:sz w:val="18"/>
          <w:szCs w:val="18"/>
        </w:rPr>
        <w:t>以发行权益</w:t>
      </w:r>
      <w:proofErr w:type="gramStart"/>
      <w:r>
        <w:rPr>
          <w:rFonts w:hint="eastAsia"/>
          <w:sz w:val="18"/>
          <w:szCs w:val="18"/>
        </w:rPr>
        <w:t>性证券</w:t>
      </w:r>
      <w:proofErr w:type="gramEnd"/>
      <w:r>
        <w:rPr>
          <w:rFonts w:hint="eastAsia"/>
          <w:sz w:val="18"/>
          <w:szCs w:val="18"/>
        </w:rPr>
        <w:t>取得的长期股权投资，按照发行权益</w:t>
      </w:r>
      <w:proofErr w:type="gramStart"/>
      <w:r>
        <w:rPr>
          <w:rFonts w:hint="eastAsia"/>
          <w:sz w:val="18"/>
          <w:szCs w:val="18"/>
        </w:rPr>
        <w:t>性证券</w:t>
      </w:r>
      <w:proofErr w:type="gramEnd"/>
      <w:r>
        <w:rPr>
          <w:rFonts w:hint="eastAsia"/>
          <w:sz w:val="18"/>
          <w:szCs w:val="18"/>
        </w:rPr>
        <w:t>的公允价值作为初始投资成本；发行或取得自身权益工具时发生的交易费用，可直接归属于权益性交易的从权益中扣减。</w:t>
      </w:r>
    </w:p>
    <w:p w:rsidR="00BE788E" w:rsidRDefault="00BE788E" w:rsidP="00B362E5">
      <w:pPr>
        <w:pStyle w:val="a3"/>
        <w:spacing w:before="0" w:beforeAutospacing="0" w:after="0" w:afterAutospacing="0"/>
        <w:ind w:firstLine="420"/>
        <w:jc w:val="both"/>
        <w:divId w:val="388649103"/>
      </w:pPr>
      <w:r>
        <w:rPr>
          <w:rFonts w:hint="eastAsia"/>
          <w:sz w:val="18"/>
          <w:szCs w:val="18"/>
        </w:rPr>
        <w:t>在非货币性资产交换具备商业实质和换入资产或换出资产的公允价值能够可靠计量的前提下，非货币性资产交换换入的长期股权投资以换出资产的公允价值为基础确定其初始投资成本，除非有确凿证据表明换入资产的公允价值更加可靠；不满足上述前提的非货币性资产交换，以换出资产的账面价值和应支付的相关税费作为换入长期股权投资的初始投资成本。</w:t>
      </w:r>
    </w:p>
    <w:p w:rsidR="00BE788E" w:rsidRDefault="00BE788E" w:rsidP="00B362E5">
      <w:pPr>
        <w:pStyle w:val="a3"/>
        <w:spacing w:before="0" w:beforeAutospacing="0" w:after="0" w:afterAutospacing="0"/>
        <w:ind w:firstLine="420"/>
        <w:jc w:val="both"/>
        <w:divId w:val="388649103"/>
      </w:pPr>
      <w:r>
        <w:rPr>
          <w:rFonts w:hint="eastAsia"/>
          <w:sz w:val="18"/>
          <w:szCs w:val="18"/>
        </w:rPr>
        <w:t>通过债务重组取得的长期股权投资，其初始投资成本按照公允价值为基础确定。</w:t>
      </w:r>
    </w:p>
    <w:p w:rsidR="00BE788E" w:rsidRDefault="00BE788E">
      <w:pPr>
        <w:widowControl/>
        <w:numPr>
          <w:ilvl w:val="0"/>
          <w:numId w:val="59"/>
        </w:numPr>
        <w:spacing w:before="100" w:beforeAutospacing="1" w:after="100" w:afterAutospacing="1"/>
        <w:divId w:val="388649103"/>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后续计量及损益确认</w:t>
      </w:r>
    </w:p>
    <w:p w:rsidR="00BE788E" w:rsidRDefault="00BE788E" w:rsidP="00B362E5">
      <w:pPr>
        <w:pStyle w:val="a3"/>
        <w:spacing w:before="0" w:beforeAutospacing="0" w:after="0" w:afterAutospacing="0"/>
        <w:ind w:firstLine="420"/>
        <w:jc w:val="both"/>
        <w:divId w:val="388649103"/>
      </w:pPr>
      <w:r>
        <w:rPr>
          <w:rFonts w:hint="eastAsia"/>
          <w:sz w:val="18"/>
          <w:szCs w:val="18"/>
        </w:rPr>
        <w:t>（</w:t>
      </w:r>
      <w:r>
        <w:rPr>
          <w:rFonts w:ascii="Times New Roman" w:hAnsi="Times New Roman" w:cs="Times New Roman"/>
          <w:sz w:val="18"/>
          <w:szCs w:val="18"/>
        </w:rPr>
        <w:t>1</w:t>
      </w:r>
      <w:r>
        <w:rPr>
          <w:rFonts w:hint="eastAsia"/>
          <w:sz w:val="18"/>
          <w:szCs w:val="18"/>
        </w:rPr>
        <w:t>）成本法</w:t>
      </w:r>
    </w:p>
    <w:p w:rsidR="00BE788E" w:rsidRDefault="00BE788E" w:rsidP="00B362E5">
      <w:pPr>
        <w:pStyle w:val="a3"/>
        <w:spacing w:before="0" w:beforeAutospacing="0" w:after="0" w:afterAutospacing="0"/>
        <w:ind w:firstLine="420"/>
        <w:jc w:val="both"/>
        <w:divId w:val="388649103"/>
      </w:pPr>
      <w:r>
        <w:rPr>
          <w:rFonts w:hint="eastAsia"/>
          <w:sz w:val="18"/>
          <w:szCs w:val="18"/>
        </w:rPr>
        <w:t>本公司能够对被投资单位实施控制的长期股权投资采用成本法核算，并按照初始投资成本计价，追加或收回投资调整长期股权投资的成本。</w:t>
      </w:r>
    </w:p>
    <w:p w:rsidR="00BE788E" w:rsidRDefault="00BE788E" w:rsidP="00B362E5">
      <w:pPr>
        <w:pStyle w:val="a3"/>
        <w:spacing w:before="0" w:beforeAutospacing="0" w:after="0" w:afterAutospacing="0"/>
        <w:ind w:firstLine="420"/>
        <w:jc w:val="both"/>
        <w:divId w:val="388649103"/>
      </w:pPr>
      <w:r>
        <w:rPr>
          <w:rFonts w:hint="eastAsia"/>
          <w:sz w:val="18"/>
          <w:szCs w:val="18"/>
        </w:rPr>
        <w:t>除取得投资时实际支付的价款或对价中包含的已宣告但尚未发放的现金股利或利润外，本公司按照享有被投资单位宣告分派的现金股利或利润确认为当期投资收益。</w:t>
      </w:r>
    </w:p>
    <w:p w:rsidR="00BE788E" w:rsidRDefault="00BE788E" w:rsidP="00B362E5">
      <w:pPr>
        <w:pStyle w:val="a3"/>
        <w:spacing w:before="0" w:beforeAutospacing="0" w:after="0" w:afterAutospacing="0"/>
        <w:ind w:firstLine="420"/>
        <w:jc w:val="both"/>
        <w:divId w:val="388649103"/>
      </w:pPr>
      <w:r>
        <w:rPr>
          <w:rFonts w:hint="eastAsia"/>
          <w:sz w:val="18"/>
          <w:szCs w:val="18"/>
        </w:rPr>
        <w:t>（</w:t>
      </w:r>
      <w:r>
        <w:rPr>
          <w:rFonts w:ascii="Times New Roman" w:hAnsi="Times New Roman" w:cs="Times New Roman"/>
          <w:sz w:val="18"/>
          <w:szCs w:val="18"/>
        </w:rPr>
        <w:t>2</w:t>
      </w:r>
      <w:r>
        <w:rPr>
          <w:rFonts w:hint="eastAsia"/>
          <w:sz w:val="18"/>
          <w:szCs w:val="18"/>
        </w:rPr>
        <w:t>）权益法</w:t>
      </w:r>
    </w:p>
    <w:p w:rsidR="00BE788E" w:rsidRDefault="00BE788E" w:rsidP="00B362E5">
      <w:pPr>
        <w:pStyle w:val="a3"/>
        <w:spacing w:before="0" w:beforeAutospacing="0" w:after="0" w:afterAutospacing="0"/>
        <w:ind w:firstLine="420"/>
        <w:jc w:val="both"/>
        <w:divId w:val="388649103"/>
      </w:pPr>
      <w:r>
        <w:rPr>
          <w:rFonts w:hint="eastAsia"/>
          <w:sz w:val="18"/>
          <w:szCs w:val="18"/>
        </w:rPr>
        <w:t>本公司对联营企业和合营企业的长期股权投资采用权益法核算；对于其中一部分通过风险投资机构、共同基金、信托公司或包括投</w:t>
      </w:r>
      <w:proofErr w:type="gramStart"/>
      <w:r>
        <w:rPr>
          <w:rFonts w:hint="eastAsia"/>
          <w:sz w:val="18"/>
          <w:szCs w:val="18"/>
        </w:rPr>
        <w:t>连险基金</w:t>
      </w:r>
      <w:proofErr w:type="gramEnd"/>
      <w:r>
        <w:rPr>
          <w:rFonts w:hint="eastAsia"/>
          <w:sz w:val="18"/>
          <w:szCs w:val="18"/>
        </w:rPr>
        <w:t>在内的类似主体间接持有的联营企业的权益性投资，采用公允价值计量且其变动计入损益。</w:t>
      </w:r>
    </w:p>
    <w:p w:rsidR="00BE788E" w:rsidRDefault="00BE788E" w:rsidP="00B362E5">
      <w:pPr>
        <w:pStyle w:val="a3"/>
        <w:spacing w:before="0" w:beforeAutospacing="0" w:after="0" w:afterAutospacing="0"/>
        <w:ind w:firstLine="420"/>
        <w:jc w:val="both"/>
        <w:divId w:val="388649103"/>
      </w:pPr>
      <w:r>
        <w:rPr>
          <w:rFonts w:hint="eastAsia"/>
          <w:sz w:val="18"/>
          <w:szCs w:val="18"/>
        </w:rPr>
        <w:t>长期股权投资的初始投资成本大于投资时应享有被投资单位可辨认净资产公允价值份额的差额，不调整长期股权投资的初始投资成本；初始投资成本小于投资时应享有被投资单位可辨认净资产公允价值份额的差额，计入当期损益。</w:t>
      </w:r>
    </w:p>
    <w:p w:rsidR="00BE788E" w:rsidRDefault="00BE788E" w:rsidP="00B362E5">
      <w:pPr>
        <w:pStyle w:val="a3"/>
        <w:spacing w:before="0" w:beforeAutospacing="0" w:after="0" w:afterAutospacing="0"/>
        <w:ind w:firstLine="420"/>
        <w:jc w:val="both"/>
        <w:divId w:val="388649103"/>
      </w:pPr>
      <w:r>
        <w:rPr>
          <w:rFonts w:hint="eastAsia"/>
          <w:sz w:val="18"/>
          <w:szCs w:val="18"/>
        </w:rPr>
        <w:t>本公司取得长期股权投资后，按照应享有或应分担的被投资单位实现的净损益和其他综合收益的份额，分别确认投资收益和其他综合收益，同时调整长期股权投资的账面价值；并按照被投资单位宣告分派的利润或现金股利计算应享有</w:t>
      </w:r>
      <w:r>
        <w:rPr>
          <w:rFonts w:hint="eastAsia"/>
          <w:sz w:val="18"/>
          <w:szCs w:val="18"/>
        </w:rPr>
        <w:lastRenderedPageBreak/>
        <w:t>的部分，相应减少长期股权投资的账面价值；对于被投资单位除净损益、其他综合收益和利润分配以外所有者权益的其他变动，调整长期股权投资的账面价值并计入所有者权益。</w:t>
      </w:r>
    </w:p>
    <w:p w:rsidR="00BE788E" w:rsidRDefault="00BE788E" w:rsidP="00B362E5">
      <w:pPr>
        <w:pStyle w:val="a3"/>
        <w:spacing w:before="0" w:beforeAutospacing="0" w:after="0" w:afterAutospacing="0"/>
        <w:ind w:firstLine="420"/>
        <w:jc w:val="both"/>
        <w:divId w:val="388649103"/>
      </w:pPr>
      <w:r>
        <w:rPr>
          <w:rFonts w:hint="eastAsia"/>
          <w:sz w:val="18"/>
          <w:szCs w:val="18"/>
        </w:rPr>
        <w:t>本公司在确认应享有被投资单位净损益的份额时，以取得投资时被投资单位各项可辨认资产等的公允价值为基础，对被投资单位的净利润进行调整后确认。本公司与联营企业、合营企业之间发生的未实现内部交易损益按照应享有的比例计算归属于本公司的部分予以</w:t>
      </w:r>
      <w:proofErr w:type="gramStart"/>
      <w:r>
        <w:rPr>
          <w:rFonts w:hint="eastAsia"/>
          <w:sz w:val="18"/>
          <w:szCs w:val="18"/>
        </w:rPr>
        <w:t>抵销</w:t>
      </w:r>
      <w:proofErr w:type="gramEnd"/>
      <w:r>
        <w:rPr>
          <w:rFonts w:hint="eastAsia"/>
          <w:sz w:val="18"/>
          <w:szCs w:val="18"/>
        </w:rPr>
        <w:t>，在此基础上确认投资损益。</w:t>
      </w:r>
    </w:p>
    <w:p w:rsidR="00BE788E" w:rsidRDefault="00BE788E" w:rsidP="00B362E5">
      <w:pPr>
        <w:pStyle w:val="a3"/>
        <w:spacing w:before="0" w:beforeAutospacing="0" w:after="0" w:afterAutospacing="0"/>
        <w:ind w:firstLine="420"/>
        <w:jc w:val="both"/>
        <w:divId w:val="388649103"/>
      </w:pPr>
      <w:r>
        <w:rPr>
          <w:rFonts w:hint="eastAsia"/>
          <w:sz w:val="18"/>
          <w:szCs w:val="18"/>
        </w:rPr>
        <w:t>本公司确认应分担被投资单位发生的亏损时，按照以下顺序进行处理：首先，冲减长期股权投资的账面价值。其次，长期股权投资的账面价值不足以冲减的，以其他实质上构成对被投资单位净投资的长期权益账面价值为限继续确认投资损失，冲减长期应收项目等的账面价值。最后，经过上述处理，按照投资合同或协议约定企业仍承担额外义务的，按预计承担的义务确认预计负债，计入当期投资损失。</w:t>
      </w:r>
    </w:p>
    <w:p w:rsidR="00BE788E" w:rsidRDefault="00BE788E" w:rsidP="00B362E5">
      <w:pPr>
        <w:pStyle w:val="a3"/>
        <w:spacing w:before="0" w:beforeAutospacing="0" w:after="0" w:afterAutospacing="0"/>
        <w:ind w:firstLine="420"/>
        <w:jc w:val="both"/>
        <w:divId w:val="388649103"/>
      </w:pPr>
      <w:r>
        <w:rPr>
          <w:rFonts w:hint="eastAsia"/>
          <w:sz w:val="18"/>
          <w:szCs w:val="18"/>
        </w:rPr>
        <w:t>被投资单位以后期间实现盈利的，公司在扣除未确认的亏损分担额后，按与上述相反的顺序处理，</w:t>
      </w:r>
      <w:proofErr w:type="gramStart"/>
      <w:r>
        <w:rPr>
          <w:rFonts w:hint="eastAsia"/>
          <w:sz w:val="18"/>
          <w:szCs w:val="18"/>
        </w:rPr>
        <w:t>减记已</w:t>
      </w:r>
      <w:proofErr w:type="gramEnd"/>
      <w:r>
        <w:rPr>
          <w:rFonts w:hint="eastAsia"/>
          <w:sz w:val="18"/>
          <w:szCs w:val="18"/>
        </w:rPr>
        <w:t>确认预计负债的账面余额、恢复其他实质上构成对被投资单位净投资的长期权益及长期股权投资的账面价值后，恢复确认投资收益。</w:t>
      </w:r>
    </w:p>
    <w:p w:rsidR="00BE788E" w:rsidRDefault="00BE788E">
      <w:pPr>
        <w:widowControl/>
        <w:numPr>
          <w:ilvl w:val="0"/>
          <w:numId w:val="60"/>
        </w:numPr>
        <w:spacing w:before="100" w:beforeAutospacing="1" w:after="100" w:afterAutospacing="1"/>
        <w:divId w:val="388649103"/>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长期股权投资核算方法的转换</w:t>
      </w:r>
    </w:p>
    <w:p w:rsidR="00BE788E" w:rsidRPr="00B362E5" w:rsidRDefault="00BE788E" w:rsidP="00B362E5">
      <w:pPr>
        <w:pStyle w:val="a3"/>
        <w:spacing w:before="0" w:beforeAutospacing="0" w:after="0" w:afterAutospacing="0"/>
        <w:ind w:firstLine="420"/>
        <w:jc w:val="both"/>
        <w:divId w:val="388649103"/>
        <w:rPr>
          <w:sz w:val="18"/>
          <w:szCs w:val="18"/>
        </w:rPr>
      </w:pPr>
      <w:r w:rsidRPr="00B362E5">
        <w:rPr>
          <w:rFonts w:hint="eastAsia"/>
          <w:sz w:val="18"/>
          <w:szCs w:val="18"/>
        </w:rPr>
        <w:t>公允价值计量转权益法核算</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本公司原持有的对被投资单位不具有控制、共同控制或重大影响的按金融工具确认和计量准则进行会计处理的权益性投资，因追加投资等原因能够对被投资单位施加重大影响或实施共同控制但不构成控制的，按照《企业会计准则第</w:t>
      </w:r>
      <w:r w:rsidRPr="00B362E5">
        <w:rPr>
          <w:sz w:val="18"/>
          <w:szCs w:val="18"/>
        </w:rPr>
        <w:t>22</w:t>
      </w:r>
      <w:r>
        <w:rPr>
          <w:rFonts w:hint="eastAsia"/>
          <w:sz w:val="18"/>
          <w:szCs w:val="18"/>
        </w:rPr>
        <w:t>号——金融工具确认和计量》确定的原持有的股权投资的公允价值加上新增投资成本之和，作为改按权益法核算的初始投资成本。</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按权益法核算的初始投资成本小于按照追加投资后全新的持股比例计算确定的应享有被投资单位在追加</w:t>
      </w:r>
      <w:proofErr w:type="gramStart"/>
      <w:r>
        <w:rPr>
          <w:rFonts w:hint="eastAsia"/>
          <w:sz w:val="18"/>
          <w:szCs w:val="18"/>
        </w:rPr>
        <w:t>投资日</w:t>
      </w:r>
      <w:proofErr w:type="gramEnd"/>
      <w:r>
        <w:rPr>
          <w:rFonts w:hint="eastAsia"/>
          <w:sz w:val="18"/>
          <w:szCs w:val="18"/>
        </w:rPr>
        <w:t>可辨认净资产公允价值份额之间的差额，调整长期股权投资的账面价值，并计入当期营业外收入。</w:t>
      </w:r>
    </w:p>
    <w:p w:rsidR="00BE788E" w:rsidRPr="00B362E5" w:rsidRDefault="00BE788E" w:rsidP="00B362E5">
      <w:pPr>
        <w:pStyle w:val="a3"/>
        <w:spacing w:before="0" w:beforeAutospacing="0" w:after="0" w:afterAutospacing="0"/>
        <w:ind w:firstLine="420"/>
        <w:jc w:val="both"/>
        <w:divId w:val="388649103"/>
        <w:rPr>
          <w:sz w:val="18"/>
          <w:szCs w:val="18"/>
        </w:rPr>
      </w:pPr>
      <w:r w:rsidRPr="00B362E5">
        <w:rPr>
          <w:rFonts w:hint="eastAsia"/>
          <w:sz w:val="18"/>
          <w:szCs w:val="18"/>
        </w:rPr>
        <w:t>公允价值计量或权益法核算</w:t>
      </w:r>
      <w:proofErr w:type="gramStart"/>
      <w:r w:rsidRPr="00B362E5">
        <w:rPr>
          <w:rFonts w:hint="eastAsia"/>
          <w:sz w:val="18"/>
          <w:szCs w:val="18"/>
        </w:rPr>
        <w:t>转成本</w:t>
      </w:r>
      <w:proofErr w:type="gramEnd"/>
      <w:r w:rsidRPr="00B362E5">
        <w:rPr>
          <w:rFonts w:hint="eastAsia"/>
          <w:sz w:val="18"/>
          <w:szCs w:val="18"/>
        </w:rPr>
        <w:t>法核算</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本公司原持有的对被投资单位不具有控制、共同控制或重大影响的按金融工具确认和计量准则进行会计处理的权益性投资，或原持有对联营企业、合营企业的长期股权投资，因追加投资等原因能够对非同</w:t>
      </w:r>
      <w:proofErr w:type="gramStart"/>
      <w:r>
        <w:rPr>
          <w:rFonts w:hint="eastAsia"/>
          <w:sz w:val="18"/>
          <w:szCs w:val="18"/>
        </w:rPr>
        <w:t>一控制</w:t>
      </w:r>
      <w:proofErr w:type="gramEnd"/>
      <w:r>
        <w:rPr>
          <w:rFonts w:hint="eastAsia"/>
          <w:sz w:val="18"/>
          <w:szCs w:val="18"/>
        </w:rPr>
        <w:t>下的被投资单位实施控制的，在编制个别财务报表时，按照原持有的股权投资账面价值加上新增投资成本之和，作为改按成本法核算的初始投资成本。</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购买日之前持有的股权投资因采用权益法核算而确认的其他综合收益，在处置该项投资时采用与被投资单位直接处置相关资产或负债相同的基础进行会计处理。</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购买日之前持有的股权投资按照《企业会计准则第</w:t>
      </w:r>
      <w:r w:rsidRPr="00B362E5">
        <w:rPr>
          <w:sz w:val="18"/>
          <w:szCs w:val="18"/>
        </w:rPr>
        <w:t>22</w:t>
      </w:r>
      <w:r>
        <w:rPr>
          <w:rFonts w:hint="eastAsia"/>
          <w:sz w:val="18"/>
          <w:szCs w:val="18"/>
        </w:rPr>
        <w:t>号——金融工具确认和计量》的有关规定进行会计处理的，原计入其他综合收益的累计公允价值变动在改按成本法核算时转入当期损益。</w:t>
      </w:r>
    </w:p>
    <w:p w:rsidR="00BE788E" w:rsidRPr="00B362E5" w:rsidRDefault="00BE788E" w:rsidP="00B362E5">
      <w:pPr>
        <w:pStyle w:val="a3"/>
        <w:spacing w:before="0" w:beforeAutospacing="0" w:after="0" w:afterAutospacing="0"/>
        <w:ind w:firstLine="420"/>
        <w:jc w:val="both"/>
        <w:divId w:val="388649103"/>
        <w:rPr>
          <w:sz w:val="18"/>
          <w:szCs w:val="18"/>
        </w:rPr>
      </w:pPr>
      <w:r w:rsidRPr="00B362E5">
        <w:rPr>
          <w:rFonts w:hint="eastAsia"/>
          <w:sz w:val="18"/>
          <w:szCs w:val="18"/>
        </w:rPr>
        <w:t>权益法核算转公允价值计量</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本公司因处置部分股权投资等原因丧失了对被投资单位的共同控制或重大影响的，处置后的剩余股权改按《企业会计准则第</w:t>
      </w:r>
      <w:r w:rsidRPr="00B362E5">
        <w:rPr>
          <w:sz w:val="18"/>
          <w:szCs w:val="18"/>
        </w:rPr>
        <w:t>22</w:t>
      </w:r>
      <w:r>
        <w:rPr>
          <w:rFonts w:hint="eastAsia"/>
          <w:sz w:val="18"/>
          <w:szCs w:val="18"/>
        </w:rPr>
        <w:t>号——金融工具确认和计量》核算，其在丧失共同控制或重大影响之日的公允价值与账面价值之间的差额计入当期损益。</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原股权投资因采用权益法核算而确认的其他综合收益，在终止采用权益法核算时采用与被投资单位直接处置相关资产或负债相同的基础进行会计处理。</w:t>
      </w:r>
    </w:p>
    <w:p w:rsidR="00BE788E" w:rsidRPr="00B362E5" w:rsidRDefault="00BE788E" w:rsidP="00B362E5">
      <w:pPr>
        <w:pStyle w:val="a3"/>
        <w:spacing w:before="0" w:beforeAutospacing="0" w:after="0" w:afterAutospacing="0"/>
        <w:ind w:firstLine="420"/>
        <w:jc w:val="both"/>
        <w:divId w:val="388649103"/>
        <w:rPr>
          <w:sz w:val="18"/>
          <w:szCs w:val="18"/>
        </w:rPr>
      </w:pPr>
      <w:r w:rsidRPr="00B362E5">
        <w:rPr>
          <w:rFonts w:hint="eastAsia"/>
          <w:sz w:val="18"/>
          <w:szCs w:val="18"/>
        </w:rPr>
        <w:t>成本</w:t>
      </w:r>
      <w:proofErr w:type="gramStart"/>
      <w:r w:rsidRPr="00B362E5">
        <w:rPr>
          <w:rFonts w:hint="eastAsia"/>
          <w:sz w:val="18"/>
          <w:szCs w:val="18"/>
        </w:rPr>
        <w:t>法转权益</w:t>
      </w:r>
      <w:proofErr w:type="gramEnd"/>
      <w:r w:rsidRPr="00B362E5">
        <w:rPr>
          <w:rFonts w:hint="eastAsia"/>
          <w:sz w:val="18"/>
          <w:szCs w:val="18"/>
        </w:rPr>
        <w:t>法</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本公司因处置部分权益性投资等原因丧失了对被投资单位的控制的，在编制个别财务报表时，处置后的剩余股权能够对被投资单位实施共同控制或施加重大影响的，改按权益法核算，并对该剩余股权视同自取得时即采用权益法核算进行调整。</w:t>
      </w:r>
    </w:p>
    <w:p w:rsidR="00BE788E" w:rsidRPr="00B362E5" w:rsidRDefault="00BE788E" w:rsidP="00B362E5">
      <w:pPr>
        <w:pStyle w:val="a3"/>
        <w:spacing w:before="0" w:beforeAutospacing="0" w:after="0" w:afterAutospacing="0"/>
        <w:ind w:firstLine="420"/>
        <w:jc w:val="both"/>
        <w:divId w:val="388649103"/>
        <w:rPr>
          <w:sz w:val="18"/>
          <w:szCs w:val="18"/>
        </w:rPr>
      </w:pPr>
      <w:proofErr w:type="gramStart"/>
      <w:r w:rsidRPr="00B362E5">
        <w:rPr>
          <w:rFonts w:hint="eastAsia"/>
          <w:sz w:val="18"/>
          <w:szCs w:val="18"/>
        </w:rPr>
        <w:t>成本法转公允</w:t>
      </w:r>
      <w:proofErr w:type="gramEnd"/>
      <w:r w:rsidRPr="00B362E5">
        <w:rPr>
          <w:rFonts w:hint="eastAsia"/>
          <w:sz w:val="18"/>
          <w:szCs w:val="18"/>
        </w:rPr>
        <w:t>价值计量</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lastRenderedPageBreak/>
        <w:t>本公司因处置部分权益性投资等原因丧失了对被投资单位的控制的，在编制个别财务报表时，处置后的剩余股权不能对被投资单位实施共同控制或施加重大影响的，改按《企业会计准则第</w:t>
      </w:r>
      <w:r w:rsidRPr="00B362E5">
        <w:rPr>
          <w:sz w:val="18"/>
          <w:szCs w:val="18"/>
        </w:rPr>
        <w:t>22</w:t>
      </w:r>
      <w:r>
        <w:rPr>
          <w:rFonts w:hint="eastAsia"/>
          <w:sz w:val="18"/>
          <w:szCs w:val="18"/>
        </w:rPr>
        <w:t>号——金融工具确认和计量》的有关规定进行会计处理，其在丧失控制之日的公允价值与账面价值间的差额计入当期损益。</w:t>
      </w:r>
    </w:p>
    <w:p w:rsidR="00BE788E" w:rsidRDefault="00BE788E" w:rsidP="00F34484">
      <w:pPr>
        <w:widowControl/>
        <w:numPr>
          <w:ilvl w:val="0"/>
          <w:numId w:val="61"/>
        </w:numPr>
        <w:spacing w:before="100" w:beforeAutospacing="1" w:after="100" w:afterAutospacing="1"/>
        <w:divId w:val="388649103"/>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长期股权投资的处置</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处置长期股权投资，其账面价值与实际取得价款之间的差额，应当计入当期损益。采用权益法核算的长期股权投资，在处置该项投资时，采用与被投资单位直接处置相关资产或负债相同的基础，按相应比例对原计入其他综合收益的部分进行会计处理。</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处置对子公司股权投资的各项交易的条款、条件以及经济影响符合以下一种或多种情况，将多次交易事项作为一揽子交易进行会计处理：</w:t>
      </w:r>
    </w:p>
    <w:p w:rsidR="00BE788E" w:rsidRDefault="00BE788E" w:rsidP="00F34484">
      <w:pPr>
        <w:widowControl/>
        <w:numPr>
          <w:ilvl w:val="0"/>
          <w:numId w:val="62"/>
        </w:numPr>
        <w:divId w:val="388649103"/>
        <w:rPr>
          <w:rFonts w:ascii="Calibri" w:hAnsi="Calibri" w:cs="Calibri"/>
          <w:szCs w:val="21"/>
        </w:rPr>
      </w:pPr>
      <w:r>
        <w:rPr>
          <w:rFonts w:cs="Calibri" w:hint="eastAsia"/>
          <w:sz w:val="18"/>
          <w:szCs w:val="18"/>
        </w:rPr>
        <w:t>这些交易是同时或者在考虑了彼此影响的情况下订立的；</w:t>
      </w:r>
    </w:p>
    <w:p w:rsidR="00BE788E" w:rsidRDefault="00BE788E" w:rsidP="00F34484">
      <w:pPr>
        <w:widowControl/>
        <w:numPr>
          <w:ilvl w:val="0"/>
          <w:numId w:val="62"/>
        </w:numPr>
        <w:divId w:val="388649103"/>
        <w:rPr>
          <w:rFonts w:ascii="Calibri" w:hAnsi="Calibri" w:cs="Calibri"/>
          <w:szCs w:val="21"/>
        </w:rPr>
      </w:pPr>
      <w:r>
        <w:rPr>
          <w:rFonts w:cs="Calibri" w:hint="eastAsia"/>
          <w:sz w:val="18"/>
          <w:szCs w:val="18"/>
        </w:rPr>
        <w:t>这些交易整体才能达成一项完整的商业结果；</w:t>
      </w:r>
    </w:p>
    <w:p w:rsidR="00BE788E" w:rsidRDefault="00BE788E" w:rsidP="00F34484">
      <w:pPr>
        <w:widowControl/>
        <w:numPr>
          <w:ilvl w:val="0"/>
          <w:numId w:val="62"/>
        </w:numPr>
        <w:divId w:val="388649103"/>
        <w:rPr>
          <w:rFonts w:ascii="Calibri" w:hAnsi="Calibri" w:cs="Calibri"/>
          <w:szCs w:val="21"/>
        </w:rPr>
      </w:pPr>
      <w:r>
        <w:rPr>
          <w:rFonts w:cs="Calibri" w:hint="eastAsia"/>
          <w:sz w:val="18"/>
          <w:szCs w:val="18"/>
        </w:rPr>
        <w:t>一项交易的发生取决于其他至少一项交易的发生；</w:t>
      </w:r>
    </w:p>
    <w:p w:rsidR="00BE788E" w:rsidRDefault="00BE788E" w:rsidP="00F34484">
      <w:pPr>
        <w:widowControl/>
        <w:numPr>
          <w:ilvl w:val="0"/>
          <w:numId w:val="62"/>
        </w:numPr>
        <w:divId w:val="388649103"/>
        <w:rPr>
          <w:rFonts w:ascii="Calibri" w:hAnsi="Calibri" w:cs="Calibri"/>
          <w:szCs w:val="21"/>
        </w:rPr>
      </w:pPr>
      <w:r>
        <w:rPr>
          <w:rFonts w:cs="Calibri" w:hint="eastAsia"/>
          <w:sz w:val="18"/>
          <w:szCs w:val="18"/>
        </w:rPr>
        <w:t>一项交易单独看是不经济的，但是和其他交易一并考虑时是经济的。</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因处置部分股权投资或其他原因丧失了对原有子公司控制权的，不属于一揽子交易的，区分个别财务报表和合并财务报表进行相关会计处理：</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w:t>
      </w:r>
      <w:r w:rsidRPr="00B362E5">
        <w:rPr>
          <w:sz w:val="18"/>
          <w:szCs w:val="18"/>
        </w:rPr>
        <w:t>1</w:t>
      </w:r>
      <w:r>
        <w:rPr>
          <w:rFonts w:hint="eastAsia"/>
          <w:sz w:val="18"/>
          <w:szCs w:val="18"/>
        </w:rPr>
        <w:t>）在个别财务报表中，对于处置的股权，其账面价值与实际取得价款之间的差额计入当期损益。处置后的剩余股权能够对被投资单位实施共同控制或施加重大影响的，改按权益法核算，并对该剩余股权视同自取得时即采用权益法核算进行调整；处置后的剩余股权不能对被投资单位实施共同控制或施加重大影响的，改按《企业会计准则第22号——金融工具确认和计量》的有关规定进行会计处理，其在丧失控制之日的公允价值与账面价值间的差额计入当期损益。</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w:t>
      </w:r>
      <w:r w:rsidRPr="00B362E5">
        <w:rPr>
          <w:sz w:val="18"/>
          <w:szCs w:val="18"/>
        </w:rPr>
        <w:t>2</w:t>
      </w:r>
      <w:r>
        <w:rPr>
          <w:rFonts w:hint="eastAsia"/>
          <w:sz w:val="18"/>
          <w:szCs w:val="18"/>
        </w:rPr>
        <w:t>）在合并财务报表中，对于在丧失对子公司控制权以前的各项交易，处置价款与处置长期股权投资相应对享有子公司自购买日或</w:t>
      </w:r>
      <w:proofErr w:type="gramStart"/>
      <w:r>
        <w:rPr>
          <w:rFonts w:hint="eastAsia"/>
          <w:sz w:val="18"/>
          <w:szCs w:val="18"/>
        </w:rPr>
        <w:t>合并日</w:t>
      </w:r>
      <w:proofErr w:type="gramEnd"/>
      <w:r>
        <w:rPr>
          <w:rFonts w:hint="eastAsia"/>
          <w:sz w:val="18"/>
          <w:szCs w:val="18"/>
        </w:rPr>
        <w:t>开始持续计算的净资产份额之间的差额，调整资本公积（股本溢价），资本公</w:t>
      </w:r>
      <w:proofErr w:type="gramStart"/>
      <w:r>
        <w:rPr>
          <w:rFonts w:hint="eastAsia"/>
          <w:sz w:val="18"/>
          <w:szCs w:val="18"/>
        </w:rPr>
        <w:t>积不足</w:t>
      </w:r>
      <w:proofErr w:type="gramEnd"/>
      <w:r>
        <w:rPr>
          <w:rFonts w:hint="eastAsia"/>
          <w:sz w:val="18"/>
          <w:szCs w:val="18"/>
        </w:rPr>
        <w:t>冲减的，调整留存收益；在丧失对子公司控制权时，对于剩余股权，按照其在丧失控制权日的公允价值进行重新计量。处置股权取得的对价与剩余股权公允价值之和，减去按原持股比例计算应享有原有子公司自购买日开始持续计算的净资产的份额之间的差额，计入丧失控制权当期的投资收益，同时冲减商誉。与原有子公司股权投资相关的其他综合收益等，在丧失控制权时转为当期投资收益。</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处置对子公司股权投资直至丧失控制权的各项交易属于一揽子交易的，将各项交易作为一项处置子公司股权投资并丧失控制权的交易进行会计处理，区分个别财务报表和合并财务报表进行相关会计处理：</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w:t>
      </w:r>
      <w:r w:rsidRPr="00B362E5">
        <w:rPr>
          <w:sz w:val="18"/>
          <w:szCs w:val="18"/>
        </w:rPr>
        <w:t>1</w:t>
      </w:r>
      <w:r>
        <w:rPr>
          <w:rFonts w:hint="eastAsia"/>
          <w:sz w:val="18"/>
          <w:szCs w:val="18"/>
        </w:rPr>
        <w:t>）在个别财务报表中，在丧失控制权之前每一次处置价款与处置的股权对应的长期股权投资账面价值之间的差额，确认为其他综合收益，在丧失控制权时一并转入丧失控制权当期的损益。</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w:t>
      </w:r>
      <w:r w:rsidRPr="00B362E5">
        <w:rPr>
          <w:sz w:val="18"/>
          <w:szCs w:val="18"/>
        </w:rPr>
        <w:t>2</w:t>
      </w:r>
      <w:r>
        <w:rPr>
          <w:rFonts w:hint="eastAsia"/>
          <w:sz w:val="18"/>
          <w:szCs w:val="18"/>
        </w:rPr>
        <w:t>）在合并财务报表中，在丧失控制权之前每一次处置价款与处置投资对应的享有该子公司净资产份额的差额，确认为其他综合收益，在丧失控制权时一并转入丧失控制权当期的损益。</w:t>
      </w:r>
    </w:p>
    <w:p w:rsidR="00BE788E" w:rsidRDefault="00BE788E" w:rsidP="00F34484">
      <w:pPr>
        <w:widowControl/>
        <w:numPr>
          <w:ilvl w:val="0"/>
          <w:numId w:val="63"/>
        </w:numPr>
        <w:spacing w:before="100" w:beforeAutospacing="1" w:after="100" w:afterAutospacing="1"/>
        <w:divId w:val="388649103"/>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共同控制、重大影响的判断标准</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如果本公司按照相关约定与其他参与</w:t>
      </w:r>
      <w:proofErr w:type="gramStart"/>
      <w:r>
        <w:rPr>
          <w:rFonts w:hint="eastAsia"/>
          <w:sz w:val="18"/>
          <w:szCs w:val="18"/>
        </w:rPr>
        <w:t>方集体</w:t>
      </w:r>
      <w:proofErr w:type="gramEnd"/>
      <w:r>
        <w:rPr>
          <w:rFonts w:hint="eastAsia"/>
          <w:sz w:val="18"/>
          <w:szCs w:val="18"/>
        </w:rPr>
        <w:t>控制某项安排，并且对该安排回报具有重大影响的活动决策，需要经过分享控制权的参与方一致同意时才存在，则视为本公司与其他参与方共同控制某项安排，该安排即属于合营安排。</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合营安排通过单独主体达成的，根据相关约定判断本公司对该单独主体的净资产享有权利时，将该单独主体作为合营企业，采用权益法核算。若根据相关约定判断本公司并非对该单独主体的净资产享有权利时，该单独主体作为共同经营，本公司确认与共同经营利益份额相关的项目，并按照相关企业会计准则的规定进行会计处理。</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重大影响，是指投资方对被投资单位的财务和经营政策有参与决策的权力，但并不能够控制或者与其他方一起共同控制这些政策的制定。本公司通过以下一种或多种情形，并综合考虑所有事实和情况后，判断对被投资单位具有重大影</w:t>
      </w:r>
      <w:r>
        <w:rPr>
          <w:rFonts w:hint="eastAsia"/>
          <w:sz w:val="18"/>
          <w:szCs w:val="18"/>
        </w:rPr>
        <w:lastRenderedPageBreak/>
        <w:t>响：（</w:t>
      </w:r>
      <w:r w:rsidRPr="00B362E5">
        <w:rPr>
          <w:sz w:val="18"/>
          <w:szCs w:val="18"/>
        </w:rPr>
        <w:t>1</w:t>
      </w:r>
      <w:r>
        <w:rPr>
          <w:rFonts w:hint="eastAsia"/>
          <w:sz w:val="18"/>
          <w:szCs w:val="18"/>
        </w:rPr>
        <w:t>）在被投资单位的董事会或类似权力机构中派有代表；（</w:t>
      </w:r>
      <w:r w:rsidRPr="00B362E5">
        <w:rPr>
          <w:sz w:val="18"/>
          <w:szCs w:val="18"/>
        </w:rPr>
        <w:t>2</w:t>
      </w:r>
      <w:r>
        <w:rPr>
          <w:rFonts w:hint="eastAsia"/>
          <w:sz w:val="18"/>
          <w:szCs w:val="18"/>
        </w:rPr>
        <w:t>）参与被投资单位财务和经营政策制定过程；（</w:t>
      </w:r>
      <w:r w:rsidRPr="00B362E5">
        <w:rPr>
          <w:sz w:val="18"/>
          <w:szCs w:val="18"/>
        </w:rPr>
        <w:t>3</w:t>
      </w:r>
      <w:r>
        <w:rPr>
          <w:rFonts w:hint="eastAsia"/>
          <w:sz w:val="18"/>
          <w:szCs w:val="18"/>
        </w:rPr>
        <w:t>）与被投资单位之间发生重要交易；（</w:t>
      </w:r>
      <w:r w:rsidRPr="00B362E5">
        <w:rPr>
          <w:sz w:val="18"/>
          <w:szCs w:val="18"/>
        </w:rPr>
        <w:t>4</w:t>
      </w:r>
      <w:r>
        <w:rPr>
          <w:rFonts w:hint="eastAsia"/>
          <w:sz w:val="18"/>
          <w:szCs w:val="18"/>
        </w:rPr>
        <w:t>）向被投资单位派出管理人员；（</w:t>
      </w:r>
      <w:r w:rsidRPr="00B362E5">
        <w:rPr>
          <w:sz w:val="18"/>
          <w:szCs w:val="18"/>
        </w:rPr>
        <w:t>5</w:t>
      </w:r>
      <w:r>
        <w:rPr>
          <w:rFonts w:hint="eastAsia"/>
          <w:sz w:val="18"/>
          <w:szCs w:val="18"/>
        </w:rPr>
        <w:t>）向被投资单位提供关键技术资料。</w:t>
      </w:r>
    </w:p>
    <w:p w:rsidR="00037019" w:rsidRDefault="00BE788E">
      <w:pPr>
        <w:pStyle w:val="3"/>
        <w:spacing w:line="280" w:lineRule="exact"/>
        <w:jc w:val="left"/>
        <w:rPr>
          <w:rFonts w:ascii="宋体" w:hAnsi="宋体" w:cs="宋体"/>
          <w:b/>
          <w:bCs/>
        </w:rPr>
      </w:pPr>
      <w:bookmarkStart w:id="39" w:name="_Toc989029"/>
      <w:r>
        <w:rPr>
          <w:rFonts w:ascii="宋体" w:hAnsi="宋体" w:cs="宋体"/>
          <w:b/>
          <w:bCs/>
        </w:rPr>
        <w:t>23、投资性房地产</w:t>
      </w:r>
      <w:bookmarkEnd w:id="39"/>
    </w:p>
    <w:p w:rsidR="00037019" w:rsidRDefault="00BE788E" w:rsidP="00B362E5">
      <w:pPr>
        <w:pStyle w:val="a3"/>
        <w:spacing w:before="0" w:beforeAutospacing="0" w:after="0" w:afterAutospacing="0"/>
        <w:ind w:firstLine="420"/>
        <w:jc w:val="both"/>
        <w:rPr>
          <w:sz w:val="18"/>
          <w:szCs w:val="18"/>
        </w:rPr>
      </w:pPr>
      <w:r>
        <w:rPr>
          <w:sz w:val="18"/>
          <w:szCs w:val="18"/>
        </w:rPr>
        <w:t>投资性房地产计量模式</w:t>
      </w:r>
    </w:p>
    <w:p w:rsidR="00037019" w:rsidRDefault="00BE788E" w:rsidP="00B362E5">
      <w:pPr>
        <w:pStyle w:val="a3"/>
        <w:spacing w:before="0" w:beforeAutospacing="0" w:after="0" w:afterAutospacing="0"/>
        <w:ind w:firstLine="420"/>
        <w:jc w:val="both"/>
        <w:rPr>
          <w:sz w:val="18"/>
          <w:szCs w:val="18"/>
        </w:rPr>
      </w:pPr>
      <w:r>
        <w:rPr>
          <w:sz w:val="18"/>
          <w:szCs w:val="18"/>
        </w:rPr>
        <w:t>成本法计量</w:t>
      </w:r>
    </w:p>
    <w:p w:rsidR="00037019" w:rsidRDefault="00BE788E" w:rsidP="00B362E5">
      <w:pPr>
        <w:pStyle w:val="a3"/>
        <w:spacing w:before="0" w:beforeAutospacing="0" w:after="0" w:afterAutospacing="0"/>
        <w:ind w:firstLine="420"/>
        <w:jc w:val="both"/>
        <w:rPr>
          <w:sz w:val="18"/>
          <w:szCs w:val="18"/>
        </w:rPr>
      </w:pPr>
      <w:r>
        <w:rPr>
          <w:sz w:val="18"/>
          <w:szCs w:val="18"/>
        </w:rPr>
        <w:t>折旧或摊销方法</w:t>
      </w:r>
    </w:p>
    <w:p w:rsidR="00BE788E" w:rsidRPr="00B362E5" w:rsidRDefault="00BE788E" w:rsidP="00B362E5">
      <w:pPr>
        <w:pStyle w:val="a3"/>
        <w:spacing w:before="0" w:beforeAutospacing="0" w:after="0" w:afterAutospacing="0"/>
        <w:ind w:firstLine="420"/>
        <w:jc w:val="both"/>
        <w:divId w:val="1942060189"/>
        <w:rPr>
          <w:sz w:val="18"/>
          <w:szCs w:val="18"/>
        </w:rPr>
      </w:pPr>
      <w:r>
        <w:rPr>
          <w:rFonts w:hint="eastAsia"/>
          <w:sz w:val="18"/>
          <w:szCs w:val="18"/>
        </w:rPr>
        <w:t>投资性房地产是指为赚取租金或资本增值，或两者兼有而持有的房地产，包括已出租的土地使用权、持有并</w:t>
      </w:r>
      <w:proofErr w:type="gramStart"/>
      <w:r>
        <w:rPr>
          <w:rFonts w:hint="eastAsia"/>
          <w:sz w:val="18"/>
          <w:szCs w:val="18"/>
        </w:rPr>
        <w:t>准备增值</w:t>
      </w:r>
      <w:proofErr w:type="gramEnd"/>
      <w:r>
        <w:rPr>
          <w:rFonts w:hint="eastAsia"/>
          <w:sz w:val="18"/>
          <w:szCs w:val="18"/>
        </w:rPr>
        <w:t>后转让的土地使用权、已出租的建筑物。此外，对于本公司持有以备经营出租的空置建筑物，若董事会</w:t>
      </w:r>
      <w:proofErr w:type="gramStart"/>
      <w:r>
        <w:rPr>
          <w:rFonts w:hint="eastAsia"/>
          <w:sz w:val="18"/>
          <w:szCs w:val="18"/>
        </w:rPr>
        <w:t>作出</w:t>
      </w:r>
      <w:proofErr w:type="gramEnd"/>
      <w:r>
        <w:rPr>
          <w:rFonts w:hint="eastAsia"/>
          <w:sz w:val="18"/>
          <w:szCs w:val="18"/>
        </w:rPr>
        <w:t>书面决议，明确表示将其用于经营出租且持有意图短期内不再发生变化的，也作为投资性房地产列报。</w:t>
      </w:r>
    </w:p>
    <w:p w:rsidR="00BE788E" w:rsidRPr="00B362E5" w:rsidRDefault="00BE788E" w:rsidP="00B362E5">
      <w:pPr>
        <w:pStyle w:val="a3"/>
        <w:spacing w:before="0" w:beforeAutospacing="0" w:after="0" w:afterAutospacing="0"/>
        <w:ind w:firstLine="420"/>
        <w:jc w:val="both"/>
        <w:divId w:val="1942060189"/>
        <w:rPr>
          <w:sz w:val="18"/>
          <w:szCs w:val="18"/>
        </w:rPr>
      </w:pPr>
      <w:r>
        <w:rPr>
          <w:rFonts w:hint="eastAsia"/>
          <w:sz w:val="18"/>
          <w:szCs w:val="18"/>
        </w:rPr>
        <w:t>本公司的投资性房地产按其成本作为入账价值，外购投资性房地产的成本包括购买价款、相关税费和</w:t>
      </w:r>
      <w:proofErr w:type="gramStart"/>
      <w:r>
        <w:rPr>
          <w:rFonts w:hint="eastAsia"/>
          <w:sz w:val="18"/>
          <w:szCs w:val="18"/>
        </w:rPr>
        <w:t>可</w:t>
      </w:r>
      <w:proofErr w:type="gramEnd"/>
      <w:r>
        <w:rPr>
          <w:rFonts w:hint="eastAsia"/>
          <w:sz w:val="18"/>
          <w:szCs w:val="18"/>
        </w:rPr>
        <w:t>直接归属于该资产的其他支出；自行建造投资性房地产的成本，由建造该项资产达到预定可使用状态前所发生的必要支出构成。</w:t>
      </w:r>
    </w:p>
    <w:p w:rsidR="00BE788E" w:rsidRPr="00B362E5" w:rsidRDefault="00BE788E" w:rsidP="00B362E5">
      <w:pPr>
        <w:pStyle w:val="a3"/>
        <w:spacing w:before="0" w:beforeAutospacing="0" w:after="0" w:afterAutospacing="0"/>
        <w:ind w:firstLine="420"/>
        <w:jc w:val="both"/>
        <w:divId w:val="1942060189"/>
        <w:rPr>
          <w:sz w:val="18"/>
          <w:szCs w:val="18"/>
        </w:rPr>
      </w:pPr>
      <w:r>
        <w:rPr>
          <w:rFonts w:hint="eastAsia"/>
          <w:sz w:val="18"/>
          <w:szCs w:val="18"/>
        </w:rPr>
        <w:t>本公司对投资性房地产采用成本模式进行后续计量，按其预计使用寿命及净残值率对建筑物和土地使用权计提折旧或摊销。投资性房地产的预计使用寿命、净残值率及年折旧（摊销）率列示如下：</w:t>
      </w:r>
    </w:p>
    <w:tbl>
      <w:tblPr>
        <w:tblW w:w="9153"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11|0|desc|||0|1"/>
      </w:tblPr>
      <w:tblGrid>
        <w:gridCol w:w="2128"/>
        <w:gridCol w:w="1986"/>
        <w:gridCol w:w="2270"/>
        <w:gridCol w:w="2769"/>
      </w:tblGrid>
      <w:tr w:rsidR="00BE788E" w:rsidTr="00B362E5">
        <w:trPr>
          <w:divId w:val="1942060189"/>
          <w:trHeight w:val="340"/>
          <w:tblHeader/>
          <w:jc w:val="center"/>
        </w:trPr>
        <w:tc>
          <w:tcPr>
            <w:tcW w:w="2128" w:type="dxa"/>
            <w:tcBorders>
              <w:top w:val="single" w:sz="8" w:space="0" w:color="auto"/>
              <w:left w:val="single" w:sz="8" w:space="0" w:color="auto"/>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类别</w:t>
            </w:r>
          </w:p>
        </w:tc>
        <w:tc>
          <w:tcPr>
            <w:tcW w:w="1986"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预计使用寿命（年）</w:t>
            </w:r>
          </w:p>
        </w:tc>
        <w:tc>
          <w:tcPr>
            <w:tcW w:w="2270"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预计净残值率（</w:t>
            </w:r>
            <w:r>
              <w:rPr>
                <w:rFonts w:ascii="Times New Roman" w:hAnsi="Times New Roman" w:cs="Times New Roman"/>
                <w:sz w:val="18"/>
                <w:szCs w:val="18"/>
              </w:rPr>
              <w:t>%</w:t>
            </w:r>
            <w:r>
              <w:rPr>
                <w:rFonts w:hint="eastAsia"/>
                <w:sz w:val="18"/>
                <w:szCs w:val="18"/>
              </w:rPr>
              <w:t>）</w:t>
            </w:r>
          </w:p>
        </w:tc>
        <w:tc>
          <w:tcPr>
            <w:tcW w:w="2769"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年折旧（摊销）率（</w:t>
            </w:r>
            <w:r>
              <w:rPr>
                <w:rFonts w:ascii="Times New Roman" w:hAnsi="Times New Roman" w:cs="Times New Roman"/>
                <w:sz w:val="18"/>
                <w:szCs w:val="18"/>
              </w:rPr>
              <w:t>%</w:t>
            </w:r>
            <w:r>
              <w:rPr>
                <w:rFonts w:hint="eastAsia"/>
                <w:sz w:val="18"/>
                <w:szCs w:val="18"/>
              </w:rPr>
              <w:t>）</w:t>
            </w:r>
          </w:p>
        </w:tc>
      </w:tr>
      <w:tr w:rsidR="00BE788E">
        <w:trPr>
          <w:divId w:val="1942060189"/>
          <w:trHeight w:val="340"/>
          <w:jc w:val="center"/>
        </w:trPr>
        <w:tc>
          <w:tcPr>
            <w:tcW w:w="21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ind w:firstLine="424"/>
            </w:pPr>
            <w:r>
              <w:rPr>
                <w:rFonts w:hint="eastAsia"/>
                <w:sz w:val="18"/>
                <w:szCs w:val="18"/>
              </w:rPr>
              <w:t>房屋建筑物</w:t>
            </w:r>
          </w:p>
        </w:tc>
        <w:tc>
          <w:tcPr>
            <w:tcW w:w="19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ind w:firstLine="424"/>
            </w:pPr>
            <w:r>
              <w:rPr>
                <w:rFonts w:ascii="Times New Roman" w:hAnsi="Times New Roman" w:cs="Times New Roman"/>
                <w:sz w:val="18"/>
                <w:szCs w:val="18"/>
              </w:rPr>
              <w:t>25.00</w:t>
            </w:r>
          </w:p>
        </w:tc>
        <w:tc>
          <w:tcPr>
            <w:tcW w:w="2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ind w:firstLine="424"/>
            </w:pPr>
            <w:r>
              <w:rPr>
                <w:rFonts w:ascii="Times New Roman" w:hAnsi="Times New Roman" w:cs="Times New Roman"/>
                <w:sz w:val="18"/>
                <w:szCs w:val="18"/>
              </w:rPr>
              <w:t>10.00</w:t>
            </w:r>
          </w:p>
        </w:tc>
        <w:tc>
          <w:tcPr>
            <w:tcW w:w="2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ind w:firstLine="424"/>
            </w:pPr>
            <w:r>
              <w:rPr>
                <w:rFonts w:ascii="Times New Roman" w:hAnsi="Times New Roman" w:cs="Times New Roman"/>
                <w:sz w:val="18"/>
                <w:szCs w:val="18"/>
              </w:rPr>
              <w:t>3.60</w:t>
            </w:r>
          </w:p>
        </w:tc>
      </w:tr>
    </w:tbl>
    <w:p w:rsidR="00BE788E" w:rsidRPr="00B362E5" w:rsidRDefault="00BE788E" w:rsidP="00B362E5">
      <w:pPr>
        <w:pStyle w:val="a3"/>
        <w:spacing w:before="0" w:beforeAutospacing="0" w:after="0" w:afterAutospacing="0"/>
        <w:ind w:firstLine="420"/>
        <w:jc w:val="both"/>
        <w:divId w:val="1942060189"/>
        <w:rPr>
          <w:sz w:val="18"/>
          <w:szCs w:val="18"/>
        </w:rPr>
      </w:pPr>
      <w:r>
        <w:rPr>
          <w:rFonts w:hint="eastAsia"/>
          <w:sz w:val="18"/>
          <w:szCs w:val="18"/>
        </w:rPr>
        <w:t>投资性房地产的减值测试方法和减值准备计提方法详见30.长期资产减值。</w:t>
      </w:r>
    </w:p>
    <w:p w:rsidR="00BE788E" w:rsidRPr="00B362E5" w:rsidRDefault="00BE788E" w:rsidP="00B362E5">
      <w:pPr>
        <w:pStyle w:val="a3"/>
        <w:spacing w:before="0" w:beforeAutospacing="0" w:after="0" w:afterAutospacing="0"/>
        <w:ind w:firstLine="420"/>
        <w:jc w:val="both"/>
        <w:divId w:val="1942060189"/>
        <w:rPr>
          <w:sz w:val="18"/>
          <w:szCs w:val="18"/>
        </w:rPr>
      </w:pPr>
      <w:r>
        <w:rPr>
          <w:rFonts w:hint="eastAsia"/>
          <w:sz w:val="18"/>
          <w:szCs w:val="18"/>
        </w:rPr>
        <w:t>投资性房地产的用途改变为自用时，</w:t>
      </w:r>
      <w:proofErr w:type="gramStart"/>
      <w:r>
        <w:rPr>
          <w:rFonts w:hint="eastAsia"/>
          <w:sz w:val="18"/>
          <w:szCs w:val="18"/>
        </w:rPr>
        <w:t>自改变</w:t>
      </w:r>
      <w:proofErr w:type="gramEnd"/>
      <w:r>
        <w:rPr>
          <w:rFonts w:hint="eastAsia"/>
          <w:sz w:val="18"/>
          <w:szCs w:val="18"/>
        </w:rPr>
        <w:t>之日起，本公司将该投资性房地产转换为固定资产或无形资产。自用房地产的用途改变为赚取租金或资本增值时，</w:t>
      </w:r>
      <w:proofErr w:type="gramStart"/>
      <w:r>
        <w:rPr>
          <w:rFonts w:hint="eastAsia"/>
          <w:sz w:val="18"/>
          <w:szCs w:val="18"/>
        </w:rPr>
        <w:t>自改变</w:t>
      </w:r>
      <w:proofErr w:type="gramEnd"/>
      <w:r>
        <w:rPr>
          <w:rFonts w:hint="eastAsia"/>
          <w:sz w:val="18"/>
          <w:szCs w:val="18"/>
        </w:rPr>
        <w:t>之日起，本公司将固定资产或无形资产转换为投资性房地产。发生转换时，以转换前的账面价值作为转换后的入账价值。</w:t>
      </w:r>
    </w:p>
    <w:p w:rsidR="00BE788E" w:rsidRPr="00B362E5" w:rsidRDefault="00BE788E" w:rsidP="00B362E5">
      <w:pPr>
        <w:pStyle w:val="a3"/>
        <w:spacing w:before="0" w:beforeAutospacing="0" w:after="0" w:afterAutospacing="0"/>
        <w:ind w:firstLine="420"/>
        <w:jc w:val="both"/>
        <w:divId w:val="1942060189"/>
        <w:rPr>
          <w:sz w:val="18"/>
          <w:szCs w:val="18"/>
        </w:rPr>
      </w:pPr>
      <w:r>
        <w:rPr>
          <w:rFonts w:hint="eastAsia"/>
          <w:sz w:val="18"/>
          <w:szCs w:val="18"/>
        </w:rPr>
        <w:t>当投资性房地产被处置，或者永久退出使用且预计不能从其处置中取得经济利益时，终止确认该项投资性房地产。投资性房地产出售、转让、报废或毁损的处置收入扣除其账面价值和相关税费后的金额计入当期损益。</w:t>
      </w:r>
    </w:p>
    <w:p w:rsidR="00037019" w:rsidRDefault="00BE788E">
      <w:pPr>
        <w:pStyle w:val="3"/>
        <w:spacing w:line="280" w:lineRule="exact"/>
        <w:jc w:val="left"/>
        <w:rPr>
          <w:rFonts w:ascii="宋体" w:hAnsi="宋体" w:cs="宋体"/>
          <w:b/>
          <w:bCs/>
        </w:rPr>
      </w:pPr>
      <w:bookmarkStart w:id="40" w:name="_Toc989030"/>
      <w:r>
        <w:rPr>
          <w:rFonts w:ascii="宋体" w:hAnsi="宋体" w:cs="宋体"/>
          <w:b/>
          <w:bCs/>
        </w:rPr>
        <w:t>24、固定资产</w:t>
      </w:r>
      <w:bookmarkEnd w:id="40"/>
    </w:p>
    <w:p w:rsidR="00037019" w:rsidRDefault="00BE788E">
      <w:pPr>
        <w:keepNext/>
        <w:keepLines/>
        <w:spacing w:before="300" w:after="300" w:line="280" w:lineRule="exact"/>
        <w:outlineLvl w:val="3"/>
        <w:rPr>
          <w:rFonts w:ascii="宋体" w:eastAsia="宋体" w:hAnsi="宋体" w:cs="宋体"/>
          <w:b/>
          <w:bCs/>
          <w:szCs w:val="21"/>
        </w:rPr>
      </w:pPr>
      <w:bookmarkStart w:id="41" w:name="_Toc989031"/>
      <w:r>
        <w:rPr>
          <w:rFonts w:ascii="宋体" w:eastAsia="宋体" w:hAnsi="宋体" w:cs="宋体"/>
          <w:b/>
          <w:bCs/>
          <w:szCs w:val="21"/>
        </w:rPr>
        <w:t>（1） 确认条件</w:t>
      </w:r>
      <w:bookmarkEnd w:id="41"/>
    </w:p>
    <w:p w:rsidR="00BE788E" w:rsidRDefault="00BE788E" w:rsidP="00B362E5">
      <w:pPr>
        <w:pStyle w:val="a3"/>
        <w:spacing w:before="0" w:beforeAutospacing="0" w:after="0" w:afterAutospacing="0"/>
        <w:ind w:firstLine="420"/>
        <w:jc w:val="both"/>
        <w:divId w:val="1277250950"/>
        <w:rPr>
          <w:sz w:val="18"/>
          <w:szCs w:val="18"/>
        </w:rPr>
      </w:pPr>
      <w:r>
        <w:rPr>
          <w:rFonts w:hint="eastAsia"/>
          <w:sz w:val="18"/>
          <w:szCs w:val="18"/>
        </w:rPr>
        <w:t>固定资产指为生产商品、提供劳务、出租或经营管理而持有，并且使用寿命超过一个会计年度的有形资产。固定资产在同时满足下列条件时予以确认：</w:t>
      </w:r>
    </w:p>
    <w:p w:rsidR="00BE788E" w:rsidRDefault="00BE788E" w:rsidP="00B362E5">
      <w:pPr>
        <w:pStyle w:val="a3"/>
        <w:spacing w:before="0" w:beforeAutospacing="0" w:after="0" w:afterAutospacing="0"/>
        <w:ind w:firstLine="420"/>
        <w:jc w:val="both"/>
        <w:divId w:val="1277250950"/>
        <w:rPr>
          <w:sz w:val="18"/>
          <w:szCs w:val="18"/>
        </w:rPr>
      </w:pPr>
      <w:r>
        <w:rPr>
          <w:rFonts w:hint="eastAsia"/>
          <w:sz w:val="18"/>
          <w:szCs w:val="18"/>
        </w:rPr>
        <w:t>（1）与该固定资产有关的经济利益很可能流入企业；</w:t>
      </w:r>
    </w:p>
    <w:p w:rsidR="00BE788E" w:rsidRDefault="00BE788E" w:rsidP="00B362E5">
      <w:pPr>
        <w:pStyle w:val="a3"/>
        <w:spacing w:before="0" w:beforeAutospacing="0" w:after="0" w:afterAutospacing="0"/>
        <w:ind w:firstLine="420"/>
        <w:jc w:val="both"/>
        <w:divId w:val="1277250950"/>
        <w:rPr>
          <w:sz w:val="18"/>
          <w:szCs w:val="18"/>
        </w:rPr>
      </w:pPr>
      <w:r>
        <w:rPr>
          <w:rFonts w:hint="eastAsia"/>
          <w:sz w:val="18"/>
          <w:szCs w:val="18"/>
        </w:rPr>
        <w:t>（2）该固定资产的成本能够可靠地计量。</w:t>
      </w:r>
    </w:p>
    <w:p w:rsidR="00037019" w:rsidRDefault="00BE788E">
      <w:pPr>
        <w:keepNext/>
        <w:keepLines/>
        <w:spacing w:before="300" w:after="300" w:line="280" w:lineRule="exact"/>
        <w:outlineLvl w:val="3"/>
        <w:rPr>
          <w:rFonts w:ascii="宋体" w:eastAsia="宋体" w:hAnsi="宋体" w:cs="宋体"/>
          <w:b/>
          <w:bCs/>
          <w:szCs w:val="21"/>
        </w:rPr>
      </w:pPr>
      <w:bookmarkStart w:id="42" w:name="_Toc989032"/>
      <w:r>
        <w:rPr>
          <w:rFonts w:ascii="宋体" w:eastAsia="宋体" w:hAnsi="宋体" w:cs="宋体"/>
          <w:b/>
          <w:bCs/>
          <w:szCs w:val="21"/>
        </w:rPr>
        <w:t>（2） 折旧方法</w:t>
      </w:r>
      <w:bookmarkEnd w:id="42"/>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rsidTr="00B362E5">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折旧方法</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折旧年限</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残值率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年折旧率</w:t>
            </w:r>
          </w:p>
        </w:tc>
      </w:tr>
      <w:tr w:rsidR="00037019" w:rsidTr="00B362E5">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房屋及建筑物</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25.00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3.60%</w:t>
            </w:r>
          </w:p>
        </w:tc>
      </w:tr>
      <w:tr w:rsidR="00037019" w:rsidTr="00B362E5">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机器设备</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9.00%</w:t>
            </w:r>
          </w:p>
        </w:tc>
      </w:tr>
      <w:tr w:rsidR="00037019" w:rsidTr="00B362E5">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运输设备</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5.00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18.00%</w:t>
            </w:r>
          </w:p>
        </w:tc>
      </w:tr>
      <w:tr w:rsidR="00037019" w:rsidTr="00B362E5">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电子及其他设备</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5.00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18.00%</w:t>
            </w:r>
          </w:p>
        </w:tc>
      </w:tr>
    </w:tbl>
    <w:p w:rsidR="00037019" w:rsidRDefault="00BE788E">
      <w:pPr>
        <w:pStyle w:val="3"/>
        <w:spacing w:line="280" w:lineRule="exact"/>
        <w:jc w:val="left"/>
        <w:rPr>
          <w:rFonts w:ascii="宋体" w:hAnsi="宋体" w:cs="宋体"/>
          <w:b/>
          <w:bCs/>
        </w:rPr>
      </w:pPr>
      <w:bookmarkStart w:id="43" w:name="_Toc989033"/>
      <w:r>
        <w:rPr>
          <w:rFonts w:ascii="宋体" w:hAnsi="宋体" w:cs="宋体"/>
          <w:b/>
          <w:bCs/>
        </w:rPr>
        <w:t>25、在建工程</w:t>
      </w:r>
      <w:bookmarkEnd w:id="43"/>
    </w:p>
    <w:p w:rsidR="00BE788E" w:rsidRPr="00B362E5" w:rsidRDefault="00BE788E" w:rsidP="00B362E5">
      <w:pPr>
        <w:pStyle w:val="a3"/>
        <w:spacing w:before="0" w:beforeAutospacing="0" w:after="0" w:afterAutospacing="0"/>
        <w:ind w:firstLine="420"/>
        <w:jc w:val="both"/>
        <w:divId w:val="1785033913"/>
        <w:rPr>
          <w:sz w:val="18"/>
          <w:szCs w:val="18"/>
        </w:rPr>
      </w:pPr>
      <w:r>
        <w:rPr>
          <w:rFonts w:hint="eastAsia"/>
          <w:sz w:val="18"/>
          <w:szCs w:val="18"/>
        </w:rPr>
        <w:t>本公司自行建造的在建工程按实际成本计价，实际成本由建造该项资产达到预定可使用状态前所发生的必要支出构成，包括工程用物资成本、人工成本、交纳的相关税费、应予资本化的借款费用以及应分摊的间接费用等。</w:t>
      </w:r>
    </w:p>
    <w:p w:rsidR="00BE788E" w:rsidRPr="00B362E5" w:rsidRDefault="00BE788E" w:rsidP="00B362E5">
      <w:pPr>
        <w:pStyle w:val="a3"/>
        <w:spacing w:before="0" w:beforeAutospacing="0" w:after="0" w:afterAutospacing="0"/>
        <w:ind w:firstLine="420"/>
        <w:jc w:val="both"/>
        <w:divId w:val="1785033913"/>
        <w:rPr>
          <w:sz w:val="18"/>
          <w:szCs w:val="18"/>
        </w:rPr>
      </w:pPr>
      <w:r>
        <w:rPr>
          <w:rFonts w:hint="eastAsia"/>
          <w:sz w:val="18"/>
          <w:szCs w:val="18"/>
        </w:rPr>
        <w:lastRenderedPageBreak/>
        <w:t>在建工程项目按建造该项资产达到预定可使用状态前所发生的全部支出，作为固定资产的入账价值。所建造的在建工程已达到预定可使用状态，但尚未办理竣工决算的，</w:t>
      </w:r>
      <w:proofErr w:type="gramStart"/>
      <w:r>
        <w:rPr>
          <w:rFonts w:hint="eastAsia"/>
          <w:sz w:val="18"/>
          <w:szCs w:val="18"/>
        </w:rPr>
        <w:t>自达到</w:t>
      </w:r>
      <w:proofErr w:type="gramEnd"/>
      <w:r>
        <w:rPr>
          <w:rFonts w:hint="eastAsia"/>
          <w:sz w:val="18"/>
          <w:szCs w:val="18"/>
        </w:rPr>
        <w:t>预定可使用状态之日起，根据工程预算、造价或者工程实际成本等，按估计的价值转入固定资产，并按本公司固定资产折旧政策计提固定资产的折旧，待办理竣工决算后，再按实际成本调整原来的暂估价值，但不调整原已计提的折旧额。</w:t>
      </w:r>
    </w:p>
    <w:p w:rsidR="00BE788E" w:rsidRPr="00B362E5" w:rsidRDefault="00BE788E" w:rsidP="00B362E5">
      <w:pPr>
        <w:pStyle w:val="a3"/>
        <w:spacing w:before="0" w:beforeAutospacing="0" w:after="0" w:afterAutospacing="0"/>
        <w:ind w:firstLine="420"/>
        <w:jc w:val="both"/>
        <w:divId w:val="1785033913"/>
        <w:rPr>
          <w:sz w:val="18"/>
          <w:szCs w:val="18"/>
        </w:rPr>
      </w:pPr>
      <w:r>
        <w:rPr>
          <w:rFonts w:hint="eastAsia"/>
          <w:sz w:val="18"/>
          <w:szCs w:val="18"/>
        </w:rPr>
        <w:t xml:space="preserve">  在建工程的减值测试方法和减值准备计提方法详见30.长期资产减值。 </w:t>
      </w:r>
    </w:p>
    <w:p w:rsidR="00037019" w:rsidRDefault="00BE788E">
      <w:pPr>
        <w:pStyle w:val="3"/>
        <w:spacing w:line="280" w:lineRule="exact"/>
        <w:jc w:val="left"/>
        <w:rPr>
          <w:rFonts w:ascii="宋体" w:hAnsi="宋体" w:cs="宋体"/>
          <w:b/>
          <w:bCs/>
        </w:rPr>
      </w:pPr>
      <w:bookmarkStart w:id="44" w:name="_Toc989034"/>
      <w:r>
        <w:rPr>
          <w:rFonts w:ascii="宋体" w:hAnsi="宋体" w:cs="宋体"/>
          <w:b/>
          <w:bCs/>
        </w:rPr>
        <w:t>26、借款费用</w:t>
      </w:r>
      <w:bookmarkEnd w:id="44"/>
    </w:p>
    <w:p w:rsidR="00BE788E" w:rsidRDefault="00BE788E" w:rsidP="00F34484">
      <w:pPr>
        <w:widowControl/>
        <w:numPr>
          <w:ilvl w:val="0"/>
          <w:numId w:val="64"/>
        </w:numPr>
        <w:spacing w:before="100" w:beforeAutospacing="1" w:after="100" w:afterAutospacing="1"/>
        <w:divId w:val="139758659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借款费用资本化的确认原则</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本公司发生的借款费用，可直接归属于符合资本化条件的资产的购建或者生产的，予以资本化，计入相关资产成本；其他借款费用，在发生时根据其发生额确认为费用，计入当期损益。</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符合资本化条件的资产，是指需要经过相当长时间的购建或者生产活动才能达到预定可使用或者可销售状态的固定资产、投资性房地产和存货等资产。</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借款费用同时满足下列条件时开始资本化：</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w:t>
      </w:r>
      <w:r w:rsidRPr="00B362E5">
        <w:rPr>
          <w:sz w:val="18"/>
          <w:szCs w:val="18"/>
        </w:rPr>
        <w:t>1</w:t>
      </w:r>
      <w:r>
        <w:rPr>
          <w:rFonts w:hint="eastAsia"/>
          <w:sz w:val="18"/>
          <w:szCs w:val="18"/>
        </w:rPr>
        <w:t>）资产支出已经发生，资产支出包括为购建或者生产符合资本化条件的资产而以支付现金、</w:t>
      </w:r>
      <w:proofErr w:type="gramStart"/>
      <w:r>
        <w:rPr>
          <w:rFonts w:hint="eastAsia"/>
          <w:sz w:val="18"/>
          <w:szCs w:val="18"/>
        </w:rPr>
        <w:t>转移非</w:t>
      </w:r>
      <w:proofErr w:type="gramEnd"/>
      <w:r>
        <w:rPr>
          <w:rFonts w:hint="eastAsia"/>
          <w:sz w:val="18"/>
          <w:szCs w:val="18"/>
        </w:rPr>
        <w:t>现金资产或者承担带息债务形式发生的支出；</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w:t>
      </w:r>
      <w:r w:rsidRPr="00B362E5">
        <w:rPr>
          <w:sz w:val="18"/>
          <w:szCs w:val="18"/>
        </w:rPr>
        <w:t>2</w:t>
      </w:r>
      <w:r>
        <w:rPr>
          <w:rFonts w:hint="eastAsia"/>
          <w:sz w:val="18"/>
          <w:szCs w:val="18"/>
        </w:rPr>
        <w:t>）借款费用已经发生；</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w:t>
      </w:r>
      <w:r w:rsidRPr="00B362E5">
        <w:rPr>
          <w:sz w:val="18"/>
          <w:szCs w:val="18"/>
        </w:rPr>
        <w:t>3</w:t>
      </w:r>
      <w:r>
        <w:rPr>
          <w:rFonts w:hint="eastAsia"/>
          <w:sz w:val="18"/>
          <w:szCs w:val="18"/>
        </w:rPr>
        <w:t>）为使资产达到预定可使用或者可销售状态所必要的购建或者生产活动已经开始。</w:t>
      </w:r>
    </w:p>
    <w:p w:rsidR="00BE788E" w:rsidRDefault="00BE788E" w:rsidP="00F34484">
      <w:pPr>
        <w:widowControl/>
        <w:numPr>
          <w:ilvl w:val="0"/>
          <w:numId w:val="65"/>
        </w:numPr>
        <w:spacing w:before="100" w:beforeAutospacing="1" w:after="100" w:afterAutospacing="1"/>
        <w:divId w:val="139758659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借款费用资本化期间</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资本化期间，指从借款费用开始资本化时点到停止资本化时点的期间，借款费用暂停资本化的期间不包括在内。</w:t>
      </w:r>
    </w:p>
    <w:p w:rsidR="00BE788E" w:rsidRPr="00B362E5" w:rsidRDefault="00BE788E" w:rsidP="00B362E5">
      <w:pPr>
        <w:pStyle w:val="a3"/>
        <w:spacing w:before="0" w:beforeAutospacing="0" w:after="0" w:afterAutospacing="0"/>
        <w:ind w:firstLine="420"/>
        <w:jc w:val="both"/>
        <w:divId w:val="1397586594"/>
        <w:rPr>
          <w:sz w:val="18"/>
          <w:szCs w:val="18"/>
        </w:rPr>
      </w:pPr>
      <w:proofErr w:type="gramStart"/>
      <w:r>
        <w:rPr>
          <w:rFonts w:hint="eastAsia"/>
          <w:sz w:val="18"/>
          <w:szCs w:val="18"/>
        </w:rPr>
        <w:t>当购建</w:t>
      </w:r>
      <w:proofErr w:type="gramEnd"/>
      <w:r>
        <w:rPr>
          <w:rFonts w:hint="eastAsia"/>
          <w:sz w:val="18"/>
          <w:szCs w:val="18"/>
        </w:rPr>
        <w:t>或者生产符合资本化条件的资产达到预定可使用或者可销售状态时，借款费用停止资本化。</w:t>
      </w:r>
    </w:p>
    <w:p w:rsidR="00BE788E" w:rsidRPr="00B362E5" w:rsidRDefault="00BE788E" w:rsidP="00B362E5">
      <w:pPr>
        <w:pStyle w:val="a3"/>
        <w:spacing w:before="0" w:beforeAutospacing="0" w:after="0" w:afterAutospacing="0"/>
        <w:ind w:firstLine="420"/>
        <w:jc w:val="both"/>
        <w:divId w:val="1397586594"/>
        <w:rPr>
          <w:sz w:val="18"/>
          <w:szCs w:val="18"/>
        </w:rPr>
      </w:pPr>
      <w:proofErr w:type="gramStart"/>
      <w:r>
        <w:rPr>
          <w:rFonts w:hint="eastAsia"/>
          <w:sz w:val="18"/>
          <w:szCs w:val="18"/>
        </w:rPr>
        <w:t>当购建</w:t>
      </w:r>
      <w:proofErr w:type="gramEnd"/>
      <w:r>
        <w:rPr>
          <w:rFonts w:hint="eastAsia"/>
          <w:sz w:val="18"/>
          <w:szCs w:val="18"/>
        </w:rPr>
        <w:t>或者生产符合资本化条件的资产中部分项目分别完工且可单独使用时，该部分资产借款费用停止资本化。</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购建或者生产的资产的各部分分别完工，但必须等到整体完工后才可使用或可对外销售的，在该资产整体完工时停止借款费用资本化。</w:t>
      </w:r>
    </w:p>
    <w:p w:rsidR="00BE788E" w:rsidRDefault="00BE788E" w:rsidP="00F34484">
      <w:pPr>
        <w:widowControl/>
        <w:numPr>
          <w:ilvl w:val="0"/>
          <w:numId w:val="66"/>
        </w:numPr>
        <w:spacing w:before="100" w:beforeAutospacing="1" w:after="100" w:afterAutospacing="1"/>
        <w:divId w:val="139758659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暂停资本化期间</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符合资本化条件的资产在购建或生产过程中发生的非正常中断、且中断时间连续超过</w:t>
      </w:r>
      <w:r w:rsidRPr="00B362E5">
        <w:rPr>
          <w:sz w:val="18"/>
          <w:szCs w:val="18"/>
        </w:rPr>
        <w:t>3</w:t>
      </w:r>
      <w:r>
        <w:rPr>
          <w:rFonts w:hint="eastAsia"/>
          <w:sz w:val="18"/>
          <w:szCs w:val="18"/>
        </w:rPr>
        <w:t>个月的，则借款费用暂停资本化；该项中断如是所购建或生产的符合资本化条件的资产达到预定可使用状态或者可销售状态必要的程序，则借款费用继续资本化。在中断期间发生的借款费用确认为当期损益，直至资产的购建或者生产活动重新开始后借款费用继续资本化。</w:t>
      </w:r>
    </w:p>
    <w:p w:rsidR="00BE788E" w:rsidRDefault="00BE788E" w:rsidP="00F34484">
      <w:pPr>
        <w:widowControl/>
        <w:numPr>
          <w:ilvl w:val="0"/>
          <w:numId w:val="67"/>
        </w:numPr>
        <w:spacing w:before="100" w:beforeAutospacing="1" w:after="100" w:afterAutospacing="1"/>
        <w:divId w:val="139758659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借款费用资本</w:t>
      </w:r>
      <w:proofErr w:type="gramStart"/>
      <w:r>
        <w:rPr>
          <w:rFonts w:hint="eastAsia"/>
          <w:sz w:val="18"/>
          <w:szCs w:val="18"/>
        </w:rPr>
        <w:t>化金额</w:t>
      </w:r>
      <w:proofErr w:type="gramEnd"/>
      <w:r>
        <w:rPr>
          <w:rFonts w:hint="eastAsia"/>
          <w:sz w:val="18"/>
          <w:szCs w:val="18"/>
        </w:rPr>
        <w:t>的计算方法</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专门借款的利息费用（扣除尚未动用的借款资金存入银行取得的利息收入或者进行暂时性投资取得的投资收益）及其辅助费用在所购建或者生产的符合资本化条件的资产达到预定可使用或者可销售状态前，予以资本化。</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根据累计资产支出超过专门借款部分的资产支出加权平均数乘以所占用一般借款的资本化率，计算确定一般借款应予资本化的利息金额。资本化率根据一般借款加权平均利率计算确定。</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 xml:space="preserve">借款存在折价或者溢价的，按照实际利率法确定每一会计期间应摊销的折价或者溢价金额，调整每期利息金额。 </w:t>
      </w:r>
    </w:p>
    <w:p w:rsidR="00037019" w:rsidRDefault="00BE788E">
      <w:pPr>
        <w:pStyle w:val="3"/>
        <w:spacing w:line="280" w:lineRule="exact"/>
        <w:jc w:val="left"/>
        <w:rPr>
          <w:rFonts w:ascii="宋体" w:hAnsi="宋体" w:cs="宋体"/>
          <w:b/>
          <w:bCs/>
        </w:rPr>
      </w:pPr>
      <w:bookmarkStart w:id="45" w:name="_Toc989035"/>
      <w:r>
        <w:rPr>
          <w:rFonts w:ascii="宋体" w:hAnsi="宋体" w:cs="宋体"/>
          <w:b/>
          <w:bCs/>
        </w:rPr>
        <w:lastRenderedPageBreak/>
        <w:t>27、生物资产</w:t>
      </w:r>
      <w:bookmarkEnd w:id="45"/>
    </w:p>
    <w:p w:rsidR="00BE788E" w:rsidRDefault="00BE788E" w:rsidP="00B362E5">
      <w:pPr>
        <w:pStyle w:val="a3"/>
        <w:spacing w:before="0" w:beforeAutospacing="0" w:after="0" w:afterAutospacing="0"/>
        <w:ind w:firstLine="420"/>
        <w:jc w:val="both"/>
        <w:divId w:val="1230386693"/>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6" w:name="_Toc989036"/>
      <w:r>
        <w:rPr>
          <w:rFonts w:ascii="宋体" w:hAnsi="宋体" w:cs="宋体"/>
          <w:b/>
          <w:bCs/>
        </w:rPr>
        <w:t>28、油气资产</w:t>
      </w:r>
      <w:bookmarkEnd w:id="46"/>
    </w:p>
    <w:p w:rsidR="00BE788E" w:rsidRDefault="00BE788E" w:rsidP="00B362E5">
      <w:pPr>
        <w:pStyle w:val="a3"/>
        <w:spacing w:before="0" w:beforeAutospacing="0" w:after="0" w:afterAutospacing="0"/>
        <w:ind w:firstLine="420"/>
        <w:jc w:val="both"/>
        <w:divId w:val="1814983113"/>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7" w:name="_Toc989037"/>
      <w:r>
        <w:rPr>
          <w:rFonts w:ascii="宋体" w:hAnsi="宋体" w:cs="宋体"/>
          <w:b/>
          <w:bCs/>
        </w:rPr>
        <w:t>29、无形资产</w:t>
      </w:r>
      <w:bookmarkEnd w:id="47"/>
    </w:p>
    <w:p w:rsidR="00037019" w:rsidRDefault="00BE788E">
      <w:pPr>
        <w:keepNext/>
        <w:keepLines/>
        <w:spacing w:before="300" w:after="300" w:line="280" w:lineRule="exact"/>
        <w:outlineLvl w:val="3"/>
        <w:rPr>
          <w:rFonts w:ascii="宋体" w:eastAsia="宋体" w:hAnsi="宋体" w:cs="宋体"/>
          <w:b/>
          <w:bCs/>
          <w:szCs w:val="21"/>
        </w:rPr>
      </w:pPr>
      <w:bookmarkStart w:id="48" w:name="_Toc989038"/>
      <w:r>
        <w:rPr>
          <w:rFonts w:ascii="宋体" w:eastAsia="宋体" w:hAnsi="宋体" w:cs="宋体"/>
          <w:b/>
          <w:bCs/>
          <w:szCs w:val="21"/>
        </w:rPr>
        <w:t>（1） 使用寿命及其确定依据、估计情况、摊销方法或复核程序</w:t>
      </w:r>
      <w:bookmarkEnd w:id="48"/>
    </w:p>
    <w:p w:rsidR="00BE788E" w:rsidRPr="00B362E5" w:rsidRDefault="00BE788E" w:rsidP="00B362E5">
      <w:pPr>
        <w:pStyle w:val="a3"/>
        <w:spacing w:before="0" w:beforeAutospacing="0" w:after="0" w:afterAutospacing="0"/>
        <w:ind w:firstLine="420"/>
        <w:jc w:val="both"/>
        <w:divId w:val="230696224"/>
        <w:rPr>
          <w:sz w:val="18"/>
          <w:szCs w:val="18"/>
        </w:rPr>
      </w:pPr>
      <w:r>
        <w:rPr>
          <w:rFonts w:hint="eastAsia"/>
          <w:sz w:val="18"/>
          <w:szCs w:val="18"/>
        </w:rPr>
        <w:t>无形资产是指本公司拥有或者控制的没有实物形态的可</w:t>
      </w:r>
      <w:proofErr w:type="gramStart"/>
      <w:r>
        <w:rPr>
          <w:rFonts w:hint="eastAsia"/>
          <w:sz w:val="18"/>
          <w:szCs w:val="18"/>
        </w:rPr>
        <w:t>辨认非</w:t>
      </w:r>
      <w:proofErr w:type="gramEnd"/>
      <w:r>
        <w:rPr>
          <w:rFonts w:hint="eastAsia"/>
          <w:sz w:val="18"/>
          <w:szCs w:val="18"/>
        </w:rPr>
        <w:t>货币性资产，包括土地使用权、软件、专利权及非专利技术等。</w:t>
      </w:r>
    </w:p>
    <w:p w:rsidR="00BE788E" w:rsidRDefault="00BE788E" w:rsidP="00F34484">
      <w:pPr>
        <w:widowControl/>
        <w:numPr>
          <w:ilvl w:val="3"/>
          <w:numId w:val="68"/>
        </w:numPr>
        <w:tabs>
          <w:tab w:val="clear" w:pos="2880"/>
          <w:tab w:val="num" w:pos="426"/>
        </w:tabs>
        <w:spacing w:before="100" w:beforeAutospacing="1" w:after="100" w:afterAutospacing="1"/>
        <w:ind w:left="0" w:firstLine="426"/>
        <w:divId w:val="23069622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无形资产的初始计量</w:t>
      </w:r>
    </w:p>
    <w:p w:rsidR="00BE788E" w:rsidRPr="00B362E5" w:rsidRDefault="00BE788E" w:rsidP="00B362E5">
      <w:pPr>
        <w:pStyle w:val="a3"/>
        <w:spacing w:before="0" w:beforeAutospacing="0" w:after="0" w:afterAutospacing="0"/>
        <w:ind w:firstLine="420"/>
        <w:jc w:val="both"/>
        <w:divId w:val="230696224"/>
        <w:rPr>
          <w:sz w:val="18"/>
          <w:szCs w:val="18"/>
        </w:rPr>
      </w:pPr>
      <w:r>
        <w:rPr>
          <w:rFonts w:hint="eastAsia"/>
          <w:sz w:val="18"/>
          <w:szCs w:val="18"/>
        </w:rPr>
        <w:t>外购无形资产的成本，包括购买价款、相关税费以及直接归属于使该项资产达到预定用途所发生的其他支出。购买无形资产的价款超过正常信用条件延期支付，实质上具有融资性质的，无形资产的成本以购买价款的现值为基础确定。</w:t>
      </w:r>
    </w:p>
    <w:p w:rsidR="00BE788E" w:rsidRPr="00B362E5" w:rsidRDefault="00BE788E" w:rsidP="00B362E5">
      <w:pPr>
        <w:pStyle w:val="a3"/>
        <w:spacing w:before="0" w:beforeAutospacing="0" w:after="0" w:afterAutospacing="0"/>
        <w:ind w:firstLine="420"/>
        <w:jc w:val="both"/>
        <w:divId w:val="230696224"/>
        <w:rPr>
          <w:sz w:val="18"/>
          <w:szCs w:val="18"/>
        </w:rPr>
      </w:pPr>
      <w:r>
        <w:rPr>
          <w:rFonts w:hint="eastAsia"/>
          <w:sz w:val="18"/>
          <w:szCs w:val="18"/>
        </w:rPr>
        <w:t>债务重组取得债务人用以抵债的无形资产，以该无形资产的公允价值为基础确定其入账价值，并将重组债务的账面价值与该用以抵债的无形资产公允价值之间的差额，计入当期损益。</w:t>
      </w:r>
    </w:p>
    <w:p w:rsidR="00BE788E" w:rsidRPr="00B362E5" w:rsidRDefault="00BE788E" w:rsidP="00B362E5">
      <w:pPr>
        <w:pStyle w:val="a3"/>
        <w:spacing w:before="0" w:beforeAutospacing="0" w:after="0" w:afterAutospacing="0"/>
        <w:ind w:firstLine="420"/>
        <w:jc w:val="both"/>
        <w:divId w:val="230696224"/>
        <w:rPr>
          <w:sz w:val="18"/>
          <w:szCs w:val="18"/>
        </w:rPr>
      </w:pPr>
      <w:r>
        <w:rPr>
          <w:rFonts w:hint="eastAsia"/>
          <w:sz w:val="18"/>
          <w:szCs w:val="18"/>
        </w:rPr>
        <w:t>在非货币性资产交换具备商业实质且换入资产或换出资产的公允价值能够可靠计量的前提下，非货币性资产交换换入的无形资产以换出资产的公允价值为基础确定其入账价值，除非有确凿证据表明换入资产的公允价值更加可靠；不满足上述前提的非货币性资产交换，以换出资产的账面价值和应支付的相关税费作为换入无形资产的成本，不确认损益。</w:t>
      </w:r>
    </w:p>
    <w:p w:rsidR="00BE788E" w:rsidRPr="00B362E5" w:rsidRDefault="00BE788E" w:rsidP="00B362E5">
      <w:pPr>
        <w:pStyle w:val="a3"/>
        <w:spacing w:before="0" w:beforeAutospacing="0" w:after="0" w:afterAutospacing="0"/>
        <w:ind w:firstLine="420"/>
        <w:jc w:val="both"/>
        <w:divId w:val="230696224"/>
        <w:rPr>
          <w:sz w:val="18"/>
          <w:szCs w:val="18"/>
        </w:rPr>
      </w:pPr>
      <w:r>
        <w:rPr>
          <w:rFonts w:hint="eastAsia"/>
          <w:sz w:val="18"/>
          <w:szCs w:val="18"/>
        </w:rPr>
        <w:t>以同</w:t>
      </w:r>
      <w:proofErr w:type="gramStart"/>
      <w:r>
        <w:rPr>
          <w:rFonts w:hint="eastAsia"/>
          <w:sz w:val="18"/>
          <w:szCs w:val="18"/>
        </w:rPr>
        <w:t>一控制</w:t>
      </w:r>
      <w:proofErr w:type="gramEnd"/>
      <w:r>
        <w:rPr>
          <w:rFonts w:hint="eastAsia"/>
          <w:sz w:val="18"/>
          <w:szCs w:val="18"/>
        </w:rPr>
        <w:t>下的企业吸收合并方式取得的无形资产按被合并方的账面价值确定其入账价值；以非同</w:t>
      </w:r>
      <w:proofErr w:type="gramStart"/>
      <w:r>
        <w:rPr>
          <w:rFonts w:hint="eastAsia"/>
          <w:sz w:val="18"/>
          <w:szCs w:val="18"/>
        </w:rPr>
        <w:t>一控制</w:t>
      </w:r>
      <w:proofErr w:type="gramEnd"/>
      <w:r>
        <w:rPr>
          <w:rFonts w:hint="eastAsia"/>
          <w:sz w:val="18"/>
          <w:szCs w:val="18"/>
        </w:rPr>
        <w:t>下的企业吸收合并方式取得的无形资产按公允价值确定其入账价值。</w:t>
      </w:r>
    </w:p>
    <w:p w:rsidR="00BE788E" w:rsidRPr="00B362E5" w:rsidRDefault="00BE788E" w:rsidP="00B362E5">
      <w:pPr>
        <w:pStyle w:val="a3"/>
        <w:spacing w:before="0" w:beforeAutospacing="0" w:after="0" w:afterAutospacing="0"/>
        <w:ind w:firstLine="420"/>
        <w:jc w:val="both"/>
        <w:divId w:val="230696224"/>
        <w:rPr>
          <w:sz w:val="18"/>
          <w:szCs w:val="18"/>
        </w:rPr>
      </w:pPr>
      <w:r>
        <w:rPr>
          <w:rFonts w:hint="eastAsia"/>
          <w:sz w:val="18"/>
          <w:szCs w:val="18"/>
        </w:rPr>
        <w:t>内部自行开发的无形资产，其成本包括：开发该无形资产时耗用的材料、劳务成本、注册费、在开发过程中使用的其他专利权和特许权的摊销以及满足资本化条件的利息费用，以及为使该无形资产达到预定用途前所发生的其他直接费用。</w:t>
      </w:r>
    </w:p>
    <w:p w:rsidR="00BE788E" w:rsidRDefault="00BE788E" w:rsidP="00F34484">
      <w:pPr>
        <w:widowControl/>
        <w:numPr>
          <w:ilvl w:val="3"/>
          <w:numId w:val="69"/>
        </w:numPr>
        <w:tabs>
          <w:tab w:val="clear" w:pos="2880"/>
          <w:tab w:val="num" w:pos="426"/>
        </w:tabs>
        <w:spacing w:before="100" w:beforeAutospacing="1" w:after="100" w:afterAutospacing="1"/>
        <w:ind w:left="0" w:firstLine="426"/>
        <w:divId w:val="23069622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无形资产的后续计量</w:t>
      </w:r>
    </w:p>
    <w:p w:rsidR="00BE788E" w:rsidRPr="00B362E5" w:rsidRDefault="00BE788E">
      <w:pPr>
        <w:pStyle w:val="a3"/>
        <w:spacing w:before="0" w:beforeAutospacing="0" w:after="0" w:afterAutospacing="0" w:line="360" w:lineRule="auto"/>
        <w:ind w:firstLine="420"/>
        <w:jc w:val="both"/>
        <w:divId w:val="230696224"/>
        <w:rPr>
          <w:sz w:val="18"/>
          <w:szCs w:val="18"/>
        </w:rPr>
      </w:pPr>
      <w:r>
        <w:rPr>
          <w:rFonts w:hint="eastAsia"/>
          <w:sz w:val="18"/>
          <w:szCs w:val="18"/>
        </w:rPr>
        <w:t>本公司在取得无形资产时分析判断其使用寿命，划分为使用寿命有限和使用寿命不确定的无形资产。</w:t>
      </w:r>
    </w:p>
    <w:p w:rsidR="00BE788E" w:rsidRDefault="00BE788E" w:rsidP="00F34484">
      <w:pPr>
        <w:widowControl/>
        <w:numPr>
          <w:ilvl w:val="0"/>
          <w:numId w:val="70"/>
        </w:numPr>
        <w:divId w:val="230696224"/>
        <w:rPr>
          <w:rFonts w:ascii="Calibri" w:hAnsi="Calibri" w:cs="Calibri"/>
          <w:szCs w:val="21"/>
        </w:rPr>
      </w:pPr>
      <w:r>
        <w:rPr>
          <w:rFonts w:cs="Calibri" w:hint="eastAsia"/>
          <w:sz w:val="18"/>
          <w:szCs w:val="18"/>
        </w:rPr>
        <w:t>使用寿命有限的无形资产</w:t>
      </w:r>
    </w:p>
    <w:p w:rsidR="00BE788E" w:rsidRPr="00B362E5" w:rsidRDefault="00BE788E">
      <w:pPr>
        <w:pStyle w:val="a3"/>
        <w:spacing w:before="0" w:beforeAutospacing="0" w:after="0" w:afterAutospacing="0" w:line="360" w:lineRule="auto"/>
        <w:ind w:firstLine="420"/>
        <w:jc w:val="both"/>
        <w:divId w:val="230696224"/>
        <w:rPr>
          <w:sz w:val="18"/>
          <w:szCs w:val="18"/>
        </w:rPr>
      </w:pPr>
      <w:r>
        <w:rPr>
          <w:rFonts w:hint="eastAsia"/>
          <w:sz w:val="18"/>
          <w:szCs w:val="18"/>
        </w:rPr>
        <w:t>对于使用寿命有限的无形资产，在为企业带来经济利益的期限内按直线法摊销。使用寿命有限的无形资产预计寿命及依据如下：</w:t>
      </w:r>
    </w:p>
    <w:tbl>
      <w:tblPr>
        <w:tblW w:w="9366" w:type="dxa"/>
        <w:tblCellMar>
          <w:left w:w="0" w:type="dxa"/>
          <w:right w:w="0" w:type="dxa"/>
        </w:tblCellMar>
        <w:tblLook w:val="04A0" w:firstRow="1" w:lastRow="0" w:firstColumn="1" w:lastColumn="0" w:noHBand="0" w:noVBand="1"/>
        <w:tblCaption w:val="D:\大华\华孚\2023年度\TB|0-合并TB-华孚时尚股份有限公司-2023年度.xlsx|W附注模板|_jds14|0|desc|||0|1"/>
      </w:tblPr>
      <w:tblGrid>
        <w:gridCol w:w="1703"/>
        <w:gridCol w:w="3831"/>
        <w:gridCol w:w="3832"/>
      </w:tblGrid>
      <w:tr w:rsidR="00BE788E" w:rsidRPr="00B362E5" w:rsidTr="00B362E5">
        <w:trPr>
          <w:divId w:val="230696224"/>
          <w:trHeight w:val="344"/>
          <w:tblHeader/>
        </w:trPr>
        <w:tc>
          <w:tcPr>
            <w:tcW w:w="1703" w:type="dxa"/>
            <w:tcBorders>
              <w:top w:val="single" w:sz="8" w:space="0" w:color="auto"/>
              <w:left w:val="single" w:sz="8" w:space="0" w:color="auto"/>
              <w:bottom w:val="single" w:sz="8" w:space="0" w:color="auto"/>
              <w:right w:val="single" w:sz="8" w:space="0" w:color="auto"/>
            </w:tcBorders>
            <w:shd w:val="clear" w:color="auto" w:fill="D3D3D3"/>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项目</w:t>
            </w:r>
          </w:p>
        </w:tc>
        <w:tc>
          <w:tcPr>
            <w:tcW w:w="3831" w:type="dxa"/>
            <w:tcBorders>
              <w:top w:val="single" w:sz="8" w:space="0" w:color="auto"/>
              <w:left w:val="nil"/>
              <w:bottom w:val="single" w:sz="8" w:space="0" w:color="auto"/>
              <w:right w:val="single" w:sz="8" w:space="0" w:color="auto"/>
            </w:tcBorders>
            <w:shd w:val="clear" w:color="auto" w:fill="D3D3D3"/>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预计使用寿命</w:t>
            </w:r>
          </w:p>
        </w:tc>
        <w:tc>
          <w:tcPr>
            <w:tcW w:w="3832" w:type="dxa"/>
            <w:tcBorders>
              <w:top w:val="single" w:sz="8" w:space="0" w:color="auto"/>
              <w:left w:val="nil"/>
              <w:bottom w:val="single" w:sz="8" w:space="0" w:color="auto"/>
              <w:right w:val="single" w:sz="8" w:space="0" w:color="auto"/>
            </w:tcBorders>
            <w:shd w:val="clear" w:color="auto" w:fill="D3D3D3"/>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依据</w:t>
            </w:r>
          </w:p>
        </w:tc>
      </w:tr>
      <w:tr w:rsidR="00BE788E" w:rsidRPr="00B362E5">
        <w:trPr>
          <w:divId w:val="23069622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软件</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sz w:val="18"/>
                <w:szCs w:val="18"/>
              </w:rPr>
              <w:t>5-10</w:t>
            </w:r>
            <w:r w:rsidRPr="00B362E5">
              <w:rPr>
                <w:rFonts w:asciiTheme="minorEastAsia" w:eastAsiaTheme="minorEastAsia" w:hAnsiTheme="minorEastAsia" w:hint="eastAsia"/>
                <w:sz w:val="18"/>
                <w:szCs w:val="18"/>
              </w:rPr>
              <w:t>年</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软件预计使用年限</w:t>
            </w:r>
          </w:p>
        </w:tc>
      </w:tr>
      <w:tr w:rsidR="00BE788E" w:rsidRPr="00B362E5">
        <w:trPr>
          <w:divId w:val="23069622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土地使用权</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sz w:val="18"/>
                <w:szCs w:val="18"/>
              </w:rPr>
              <w:t>40-50</w:t>
            </w:r>
            <w:r w:rsidRPr="00B362E5">
              <w:rPr>
                <w:rFonts w:asciiTheme="minorEastAsia" w:eastAsiaTheme="minorEastAsia" w:hAnsiTheme="minorEastAsia" w:hint="eastAsia"/>
                <w:sz w:val="18"/>
                <w:szCs w:val="18"/>
              </w:rPr>
              <w:t>年</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土地使用权证规定年限</w:t>
            </w:r>
          </w:p>
        </w:tc>
      </w:tr>
      <w:tr w:rsidR="00BE788E" w:rsidRPr="00B362E5">
        <w:trPr>
          <w:divId w:val="23069622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专利权</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在实际授权使用期间内摊销</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授权使用期限</w:t>
            </w:r>
          </w:p>
        </w:tc>
      </w:tr>
      <w:tr w:rsidR="00BE788E" w:rsidRPr="00B362E5">
        <w:trPr>
          <w:divId w:val="23069622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商标使用权</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在实际授权使用期间内摊销</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授权使用期限</w:t>
            </w:r>
          </w:p>
        </w:tc>
      </w:tr>
    </w:tbl>
    <w:p w:rsidR="00BE788E" w:rsidRPr="00BC1A62" w:rsidRDefault="00BE788E">
      <w:pPr>
        <w:pStyle w:val="a3"/>
        <w:spacing w:before="0" w:beforeAutospacing="0" w:after="0" w:afterAutospacing="0" w:line="360" w:lineRule="auto"/>
        <w:ind w:firstLine="420"/>
        <w:jc w:val="both"/>
        <w:divId w:val="230696224"/>
        <w:rPr>
          <w:sz w:val="18"/>
          <w:szCs w:val="18"/>
        </w:rPr>
      </w:pPr>
      <w:r>
        <w:rPr>
          <w:rFonts w:hint="eastAsia"/>
          <w:sz w:val="18"/>
          <w:szCs w:val="18"/>
        </w:rPr>
        <w:t>期末，对使用寿命有限的无形资产的使用寿命和摊销方法进行复核，必要时进行调整。</w:t>
      </w:r>
    </w:p>
    <w:p w:rsidR="00BE788E" w:rsidRDefault="00BE788E" w:rsidP="00F34484">
      <w:pPr>
        <w:widowControl/>
        <w:numPr>
          <w:ilvl w:val="0"/>
          <w:numId w:val="71"/>
        </w:numPr>
        <w:divId w:val="230696224"/>
        <w:rPr>
          <w:rFonts w:ascii="Calibri" w:hAnsi="Calibri" w:cs="Calibri"/>
          <w:szCs w:val="21"/>
        </w:rPr>
      </w:pPr>
      <w:r>
        <w:rPr>
          <w:rFonts w:cs="Calibri" w:hint="eastAsia"/>
          <w:sz w:val="18"/>
          <w:szCs w:val="18"/>
        </w:rPr>
        <w:lastRenderedPageBreak/>
        <w:t>使用寿命不确定的无形资产</w:t>
      </w:r>
    </w:p>
    <w:p w:rsidR="00BE788E" w:rsidRPr="00BC1A62" w:rsidRDefault="00BE788E">
      <w:pPr>
        <w:pStyle w:val="a3"/>
        <w:spacing w:before="50" w:beforeAutospacing="0" w:after="0" w:afterAutospacing="0" w:line="360" w:lineRule="auto"/>
        <w:ind w:firstLine="420"/>
        <w:divId w:val="230696224"/>
        <w:rPr>
          <w:sz w:val="18"/>
          <w:szCs w:val="18"/>
        </w:rPr>
      </w:pPr>
      <w:r>
        <w:rPr>
          <w:rFonts w:hint="eastAsia"/>
          <w:sz w:val="18"/>
          <w:szCs w:val="18"/>
        </w:rPr>
        <w:t>本公司无使用寿命不确定的无形资产。</w:t>
      </w:r>
    </w:p>
    <w:p w:rsidR="00BE788E" w:rsidRPr="00BC1A62" w:rsidRDefault="00BE788E">
      <w:pPr>
        <w:pStyle w:val="a3"/>
        <w:spacing w:before="0" w:beforeAutospacing="0" w:after="0" w:afterAutospacing="0" w:line="360" w:lineRule="auto"/>
        <w:ind w:firstLine="420"/>
        <w:divId w:val="230696224"/>
        <w:rPr>
          <w:sz w:val="18"/>
          <w:szCs w:val="18"/>
        </w:rPr>
      </w:pPr>
      <w:r>
        <w:rPr>
          <w:rFonts w:hint="eastAsia"/>
          <w:sz w:val="18"/>
          <w:szCs w:val="18"/>
        </w:rPr>
        <w:t>无形资产的减值测试方法和减值准备计提方法详见30.长期资产减值。</w:t>
      </w:r>
    </w:p>
    <w:p w:rsidR="00037019" w:rsidRDefault="00BE788E">
      <w:pPr>
        <w:keepNext/>
        <w:keepLines/>
        <w:spacing w:before="300" w:after="300" w:line="280" w:lineRule="exact"/>
        <w:outlineLvl w:val="3"/>
        <w:rPr>
          <w:rFonts w:ascii="宋体" w:eastAsia="宋体" w:hAnsi="宋体" w:cs="宋体"/>
          <w:b/>
          <w:bCs/>
          <w:szCs w:val="21"/>
        </w:rPr>
      </w:pPr>
      <w:bookmarkStart w:id="49" w:name="_Toc989039"/>
      <w:r>
        <w:rPr>
          <w:rFonts w:ascii="宋体" w:eastAsia="宋体" w:hAnsi="宋体" w:cs="宋体"/>
          <w:b/>
          <w:bCs/>
          <w:szCs w:val="21"/>
        </w:rPr>
        <w:t>（2） 研发支出的归集范围及相关会计处理方法</w:t>
      </w:r>
      <w:bookmarkEnd w:id="49"/>
    </w:p>
    <w:p w:rsidR="00BE788E" w:rsidRDefault="00BE788E" w:rsidP="00F34484">
      <w:pPr>
        <w:widowControl/>
        <w:numPr>
          <w:ilvl w:val="3"/>
          <w:numId w:val="72"/>
        </w:numPr>
        <w:tabs>
          <w:tab w:val="clear" w:pos="2880"/>
          <w:tab w:val="num" w:pos="426"/>
        </w:tabs>
        <w:spacing w:before="100" w:beforeAutospacing="1" w:after="100" w:afterAutospacing="1"/>
        <w:ind w:left="0" w:firstLine="426"/>
        <w:divId w:val="136690510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划分公司内部研究开发项目的研究阶段和开发阶段具体标准</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研究阶段：为获取并理解新的科学或技术知识等而进行的独创性的有计划调查、研究活动的阶段。</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开发阶段：在进行商业性生产或使用前，将研究成果或其他知识应用于某项计划或设计，以生产出新的或具有实质性改进的材料、装置、产品等活动的阶段。</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内部研究开发项目研究阶段的支出，在发生时计入当期损益。</w:t>
      </w:r>
    </w:p>
    <w:p w:rsidR="00BE788E" w:rsidRDefault="00BE788E" w:rsidP="00F34484">
      <w:pPr>
        <w:widowControl/>
        <w:numPr>
          <w:ilvl w:val="3"/>
          <w:numId w:val="73"/>
        </w:numPr>
        <w:tabs>
          <w:tab w:val="clear" w:pos="2880"/>
          <w:tab w:val="num" w:pos="426"/>
        </w:tabs>
        <w:spacing w:before="100" w:beforeAutospacing="1" w:after="100" w:afterAutospacing="1"/>
        <w:ind w:left="0" w:firstLine="426"/>
        <w:divId w:val="136690510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开发阶段支出符合资本化的具体标准</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内部研究开发项目开发阶段的支出，同时满足下列条件时确认为无形资产：</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w:t>
      </w:r>
      <w:r w:rsidRPr="004E7FBF">
        <w:rPr>
          <w:sz w:val="18"/>
          <w:szCs w:val="18"/>
        </w:rPr>
        <w:t>1</w:t>
      </w:r>
      <w:r>
        <w:rPr>
          <w:rFonts w:hint="eastAsia"/>
          <w:sz w:val="18"/>
          <w:szCs w:val="18"/>
        </w:rPr>
        <w:t>）完成该无形资产以使其能够使用或出售在技术上具有可行性；</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w:t>
      </w:r>
      <w:r w:rsidRPr="004E7FBF">
        <w:rPr>
          <w:sz w:val="18"/>
          <w:szCs w:val="18"/>
        </w:rPr>
        <w:t>2</w:t>
      </w:r>
      <w:r>
        <w:rPr>
          <w:rFonts w:hint="eastAsia"/>
          <w:sz w:val="18"/>
          <w:szCs w:val="18"/>
        </w:rPr>
        <w:t>）具有完成该无形资产并使用或出售的意图；</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w:t>
      </w:r>
      <w:r w:rsidRPr="004E7FBF">
        <w:rPr>
          <w:sz w:val="18"/>
          <w:szCs w:val="18"/>
        </w:rPr>
        <w:t>3</w:t>
      </w:r>
      <w:r>
        <w:rPr>
          <w:rFonts w:hint="eastAsia"/>
          <w:sz w:val="18"/>
          <w:szCs w:val="18"/>
        </w:rPr>
        <w:t>）无形资产产生经济利益的方式，包括能够证明运用该无形资产生产的产品存在市场或无形资产自身存在市场，无形资产将在内部使用的，能够证明其有用性；</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w:t>
      </w:r>
      <w:r w:rsidRPr="004E7FBF">
        <w:rPr>
          <w:sz w:val="18"/>
          <w:szCs w:val="18"/>
        </w:rPr>
        <w:t>4</w:t>
      </w:r>
      <w:r>
        <w:rPr>
          <w:rFonts w:hint="eastAsia"/>
          <w:sz w:val="18"/>
          <w:szCs w:val="18"/>
        </w:rPr>
        <w:t>）有足够的技术、财务资源和其他资源支持，以完成该无形资产的开发，并有能力使用或出售该无形资产；</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w:t>
      </w:r>
      <w:r w:rsidRPr="004E7FBF">
        <w:rPr>
          <w:sz w:val="18"/>
          <w:szCs w:val="18"/>
        </w:rPr>
        <w:t>5</w:t>
      </w:r>
      <w:r>
        <w:rPr>
          <w:rFonts w:hint="eastAsia"/>
          <w:sz w:val="18"/>
          <w:szCs w:val="18"/>
        </w:rPr>
        <w:t>）归属于该无形资产开发阶段的支出能够可靠地计量。</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不满足上述条件的开发阶段的支出，于发生时计入当期损益。无法区分研究阶段支出和开发阶段支出的，将发生的研发支出全部计入当期损益。内部开发活动形成的无形资产的成本仅包括满足资本化条件的时点至无形资产达到预定用途前发生的支出总额，对于同一项无形资产在开发过程中达到资本化条件之前已经费用化计入损益的支出不再进行调整。</w:t>
      </w:r>
    </w:p>
    <w:p w:rsidR="00037019" w:rsidRDefault="00BE788E">
      <w:pPr>
        <w:pStyle w:val="3"/>
        <w:spacing w:line="280" w:lineRule="exact"/>
        <w:jc w:val="left"/>
        <w:rPr>
          <w:rFonts w:ascii="宋体" w:hAnsi="宋体" w:cs="宋体"/>
          <w:b/>
          <w:bCs/>
        </w:rPr>
      </w:pPr>
      <w:bookmarkStart w:id="50" w:name="_Toc989040"/>
      <w:r>
        <w:rPr>
          <w:rFonts w:ascii="宋体" w:hAnsi="宋体" w:cs="宋体"/>
          <w:b/>
          <w:bCs/>
        </w:rPr>
        <w:t>30、长期资产减值</w:t>
      </w:r>
      <w:bookmarkEnd w:id="50"/>
    </w:p>
    <w:p w:rsidR="00BE788E" w:rsidRPr="004E7FBF" w:rsidRDefault="00BE788E" w:rsidP="004E7FBF">
      <w:pPr>
        <w:pStyle w:val="a3"/>
        <w:spacing w:before="0" w:beforeAutospacing="0" w:after="0" w:afterAutospacing="0"/>
        <w:ind w:firstLine="420"/>
        <w:jc w:val="both"/>
        <w:divId w:val="1935094580"/>
        <w:rPr>
          <w:sz w:val="18"/>
          <w:szCs w:val="18"/>
        </w:rPr>
      </w:pPr>
      <w:r>
        <w:rPr>
          <w:rFonts w:hint="eastAsia"/>
          <w:sz w:val="18"/>
          <w:szCs w:val="18"/>
        </w:rPr>
        <w:t>本公司在每一个资产负债表日</w:t>
      </w:r>
      <w:proofErr w:type="gramStart"/>
      <w:r>
        <w:rPr>
          <w:rFonts w:hint="eastAsia"/>
          <w:sz w:val="18"/>
          <w:szCs w:val="18"/>
        </w:rPr>
        <w:t>检查长</w:t>
      </w:r>
      <w:proofErr w:type="gramEnd"/>
      <w:r>
        <w:rPr>
          <w:rFonts w:hint="eastAsia"/>
          <w:sz w:val="18"/>
          <w:szCs w:val="18"/>
        </w:rPr>
        <w:t>期股权投资、采用成本法计量的投资性房地产、固定资产、在建工程、使用寿命确定的无形资产是否存在可能发生减值的迹象。如果长期资产存在减值迹象，则以单项资产为基础估计其可收回金额；难以对单项资产的可收回金额进行估计的，以该资产所属的资产组为基础确定资产组的可收回金额。</w:t>
      </w:r>
    </w:p>
    <w:p w:rsidR="00BE788E" w:rsidRPr="004E7FBF" w:rsidRDefault="00BE788E" w:rsidP="004E7FBF">
      <w:pPr>
        <w:pStyle w:val="a3"/>
        <w:spacing w:before="0" w:beforeAutospacing="0" w:after="0" w:afterAutospacing="0"/>
        <w:ind w:firstLine="420"/>
        <w:jc w:val="both"/>
        <w:divId w:val="1935094580"/>
        <w:rPr>
          <w:sz w:val="18"/>
          <w:szCs w:val="18"/>
        </w:rPr>
      </w:pPr>
      <w:r>
        <w:rPr>
          <w:rFonts w:hint="eastAsia"/>
          <w:sz w:val="18"/>
          <w:szCs w:val="18"/>
        </w:rPr>
        <w:t>资产可收回金额的估计，根据其公允价值减去处置费用后的净额与资产预计未来现金流量的现值两者之间较高者确定。</w:t>
      </w:r>
    </w:p>
    <w:p w:rsidR="00BE788E" w:rsidRPr="004E7FBF" w:rsidRDefault="00BE788E" w:rsidP="004E7FBF">
      <w:pPr>
        <w:pStyle w:val="a3"/>
        <w:spacing w:before="0" w:beforeAutospacing="0" w:after="0" w:afterAutospacing="0"/>
        <w:ind w:firstLine="420"/>
        <w:jc w:val="both"/>
        <w:divId w:val="1935094580"/>
        <w:rPr>
          <w:sz w:val="18"/>
          <w:szCs w:val="18"/>
        </w:rPr>
      </w:pPr>
      <w:r>
        <w:rPr>
          <w:rFonts w:hint="eastAsia"/>
          <w:sz w:val="18"/>
          <w:szCs w:val="18"/>
        </w:rPr>
        <w:t>可收回金额的计量结果表明，长期资产的可收回金额低于其账面价值的，将长期资产的账面价值</w:t>
      </w:r>
      <w:proofErr w:type="gramStart"/>
      <w:r>
        <w:rPr>
          <w:rFonts w:hint="eastAsia"/>
          <w:sz w:val="18"/>
          <w:szCs w:val="18"/>
        </w:rPr>
        <w:t>减记至</w:t>
      </w:r>
      <w:proofErr w:type="gramEnd"/>
      <w:r>
        <w:rPr>
          <w:rFonts w:hint="eastAsia"/>
          <w:sz w:val="18"/>
          <w:szCs w:val="18"/>
        </w:rPr>
        <w:t>可收回金额，</w:t>
      </w:r>
      <w:proofErr w:type="gramStart"/>
      <w:r>
        <w:rPr>
          <w:rFonts w:hint="eastAsia"/>
          <w:sz w:val="18"/>
          <w:szCs w:val="18"/>
        </w:rPr>
        <w:t>减记的</w:t>
      </w:r>
      <w:proofErr w:type="gramEnd"/>
      <w:r>
        <w:rPr>
          <w:rFonts w:hint="eastAsia"/>
          <w:sz w:val="18"/>
          <w:szCs w:val="18"/>
        </w:rPr>
        <w:t>金额确认为资产减值损失，计入当期损益，同时计提相应的资产减值准备。资产减值损失一经确认，在以后会计期间不得转回。</w:t>
      </w:r>
    </w:p>
    <w:p w:rsidR="00BE788E" w:rsidRPr="004E7FBF" w:rsidRDefault="00BE788E" w:rsidP="004E7FBF">
      <w:pPr>
        <w:pStyle w:val="a3"/>
        <w:spacing w:before="0" w:beforeAutospacing="0" w:after="0" w:afterAutospacing="0"/>
        <w:ind w:firstLine="420"/>
        <w:jc w:val="both"/>
        <w:divId w:val="1935094580"/>
        <w:rPr>
          <w:sz w:val="18"/>
          <w:szCs w:val="18"/>
        </w:rPr>
      </w:pPr>
      <w:r>
        <w:rPr>
          <w:rFonts w:hint="eastAsia"/>
          <w:sz w:val="18"/>
          <w:szCs w:val="18"/>
        </w:rPr>
        <w:t>资产减值损失确认后，减值资产的折旧或者摊销费用在未来期间作相应调整，以使该资产在剩余使用寿命内，系统地分摊调整后的资产账面价值（扣除预计净残值）。</w:t>
      </w:r>
    </w:p>
    <w:p w:rsidR="00BE788E" w:rsidRPr="004E7FBF" w:rsidRDefault="00BE788E" w:rsidP="004E7FBF">
      <w:pPr>
        <w:pStyle w:val="a3"/>
        <w:spacing w:before="0" w:beforeAutospacing="0" w:after="0" w:afterAutospacing="0"/>
        <w:ind w:firstLine="420"/>
        <w:jc w:val="both"/>
        <w:divId w:val="1935094580"/>
        <w:rPr>
          <w:sz w:val="18"/>
          <w:szCs w:val="18"/>
        </w:rPr>
      </w:pPr>
      <w:r>
        <w:rPr>
          <w:rFonts w:hint="eastAsia"/>
          <w:sz w:val="18"/>
          <w:szCs w:val="18"/>
        </w:rPr>
        <w:t>因企业合并所形成的商誉和使用寿命不确定的无形资产，无论是否存在减值迹象，每年都进行减值测试。</w:t>
      </w:r>
    </w:p>
    <w:p w:rsidR="00BE788E" w:rsidRPr="004E7FBF" w:rsidRDefault="00BE788E" w:rsidP="004E7FBF">
      <w:pPr>
        <w:pStyle w:val="a3"/>
        <w:spacing w:before="0" w:beforeAutospacing="0" w:after="0" w:afterAutospacing="0"/>
        <w:ind w:firstLine="420"/>
        <w:jc w:val="both"/>
        <w:divId w:val="1935094580"/>
        <w:rPr>
          <w:sz w:val="18"/>
          <w:szCs w:val="18"/>
        </w:rPr>
      </w:pPr>
      <w:r>
        <w:rPr>
          <w:rFonts w:hint="eastAsia"/>
          <w:sz w:val="18"/>
          <w:szCs w:val="18"/>
        </w:rPr>
        <w:t>在对商誉进行减值测试时，将商誉的账面价值分摊至预期从企业合并的协同效应中受益的资产组或资产组组合。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w:t>
      </w:r>
      <w:r>
        <w:rPr>
          <w:rFonts w:hint="eastAsia"/>
          <w:sz w:val="18"/>
          <w:szCs w:val="18"/>
        </w:rPr>
        <w:lastRenderedPageBreak/>
        <w:t>摊的商誉的账面价值部分）</w:t>
      </w:r>
      <w:proofErr w:type="gramStart"/>
      <w:r>
        <w:rPr>
          <w:rFonts w:hint="eastAsia"/>
          <w:sz w:val="18"/>
          <w:szCs w:val="18"/>
        </w:rPr>
        <w:t>与其可</w:t>
      </w:r>
      <w:proofErr w:type="gramEnd"/>
      <w:r>
        <w:rPr>
          <w:rFonts w:hint="eastAsia"/>
          <w:sz w:val="18"/>
          <w:szCs w:val="18"/>
        </w:rPr>
        <w:t xml:space="preserve">收回金额，如相关资产组或者资产组组合的可收回金额低于其账面价值的，确认商誉的减值损失。 </w:t>
      </w:r>
    </w:p>
    <w:p w:rsidR="00037019" w:rsidRDefault="00BE788E">
      <w:pPr>
        <w:pStyle w:val="3"/>
        <w:spacing w:line="280" w:lineRule="exact"/>
        <w:jc w:val="left"/>
        <w:rPr>
          <w:rFonts w:ascii="宋体" w:hAnsi="宋体" w:cs="宋体"/>
          <w:b/>
          <w:bCs/>
        </w:rPr>
      </w:pPr>
      <w:bookmarkStart w:id="51" w:name="_Toc989041"/>
      <w:r>
        <w:rPr>
          <w:rFonts w:ascii="宋体" w:hAnsi="宋体" w:cs="宋体"/>
          <w:b/>
          <w:bCs/>
        </w:rPr>
        <w:t>31、长期待摊费用</w:t>
      </w:r>
      <w:bookmarkEnd w:id="51"/>
    </w:p>
    <w:p w:rsidR="00BE788E" w:rsidRDefault="00BE788E" w:rsidP="00F34484">
      <w:pPr>
        <w:widowControl/>
        <w:numPr>
          <w:ilvl w:val="0"/>
          <w:numId w:val="74"/>
        </w:numPr>
        <w:spacing w:before="100" w:beforeAutospacing="1" w:after="100" w:afterAutospacing="1"/>
        <w:divId w:val="152967840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摊销方法</w:t>
      </w:r>
    </w:p>
    <w:p w:rsidR="00BE788E" w:rsidRPr="004E7FBF" w:rsidRDefault="00BE788E" w:rsidP="004E7FBF">
      <w:pPr>
        <w:pStyle w:val="a3"/>
        <w:spacing w:before="0" w:beforeAutospacing="0" w:after="0" w:afterAutospacing="0"/>
        <w:ind w:firstLine="420"/>
        <w:jc w:val="both"/>
        <w:divId w:val="1529678408"/>
        <w:rPr>
          <w:sz w:val="18"/>
          <w:szCs w:val="18"/>
        </w:rPr>
      </w:pPr>
      <w:r>
        <w:rPr>
          <w:rFonts w:hint="eastAsia"/>
          <w:sz w:val="18"/>
          <w:szCs w:val="18"/>
        </w:rPr>
        <w:t>长期待摊费用，是指本公司已经发生但应由本期和以后各期负担的分摊期限在</w:t>
      </w:r>
      <w:r w:rsidRPr="004E7FBF">
        <w:rPr>
          <w:sz w:val="18"/>
          <w:szCs w:val="18"/>
        </w:rPr>
        <w:t>1</w:t>
      </w:r>
      <w:r>
        <w:rPr>
          <w:rFonts w:hint="eastAsia"/>
          <w:sz w:val="18"/>
          <w:szCs w:val="18"/>
        </w:rPr>
        <w:t>年以上的各项费用。长期待摊费用在受益期内按直线法分期摊销。</w:t>
      </w:r>
    </w:p>
    <w:p w:rsidR="00BE788E" w:rsidRDefault="00BE788E" w:rsidP="00F34484">
      <w:pPr>
        <w:widowControl/>
        <w:numPr>
          <w:ilvl w:val="0"/>
          <w:numId w:val="75"/>
        </w:numPr>
        <w:spacing w:before="100" w:beforeAutospacing="1" w:after="100" w:afterAutospacing="1"/>
        <w:divId w:val="152967840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摊销年限</w:t>
      </w:r>
    </w:p>
    <w:tbl>
      <w:tblPr>
        <w:tblW w:w="9088"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16|0|desc|||0|1"/>
      </w:tblPr>
      <w:tblGrid>
        <w:gridCol w:w="2845"/>
        <w:gridCol w:w="2845"/>
        <w:gridCol w:w="3398"/>
      </w:tblGrid>
      <w:tr w:rsidR="00BE788E">
        <w:trPr>
          <w:divId w:val="1529678408"/>
          <w:trHeight w:val="340"/>
          <w:tblHeader/>
          <w:jc w:val="center"/>
        </w:trPr>
        <w:tc>
          <w:tcPr>
            <w:tcW w:w="28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类别</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摊销年限</w:t>
            </w:r>
          </w:p>
        </w:tc>
        <w:tc>
          <w:tcPr>
            <w:tcW w:w="33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备注</w:t>
            </w:r>
          </w:p>
        </w:tc>
      </w:tr>
      <w:tr w:rsidR="00BE788E">
        <w:trPr>
          <w:divId w:val="1529678408"/>
          <w:trHeight w:val="340"/>
          <w:jc w:val="center"/>
        </w:trPr>
        <w:tc>
          <w:tcPr>
            <w:tcW w:w="28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装修费</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ascii="Times New Roman" w:hAnsi="Times New Roman" w:cs="Times New Roman"/>
                <w:sz w:val="18"/>
                <w:szCs w:val="18"/>
              </w:rPr>
              <w:t>3-5</w:t>
            </w:r>
            <w:r>
              <w:rPr>
                <w:rFonts w:hint="eastAsia"/>
                <w:sz w:val="18"/>
                <w:szCs w:val="18"/>
              </w:rPr>
              <w:t>年</w:t>
            </w:r>
          </w:p>
        </w:tc>
        <w:tc>
          <w:tcPr>
            <w:tcW w:w="3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ind w:firstLine="424"/>
              <w:jc w:val="center"/>
            </w:pPr>
            <w:r>
              <w:rPr>
                <w:rFonts w:ascii="Times New Roman" w:hAnsi="Times New Roman" w:cs="Times New Roman"/>
                <w:sz w:val="21"/>
                <w:szCs w:val="21"/>
              </w:rPr>
              <w:t> </w:t>
            </w:r>
          </w:p>
        </w:tc>
      </w:tr>
      <w:tr w:rsidR="00BE788E">
        <w:trPr>
          <w:divId w:val="1529678408"/>
          <w:trHeight w:val="340"/>
          <w:jc w:val="center"/>
        </w:trPr>
        <w:tc>
          <w:tcPr>
            <w:tcW w:w="28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机物料</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ascii="Times New Roman" w:hAnsi="Times New Roman" w:cs="Times New Roman"/>
                <w:sz w:val="18"/>
                <w:szCs w:val="18"/>
              </w:rPr>
              <w:t>3-5</w:t>
            </w:r>
            <w:r>
              <w:rPr>
                <w:rFonts w:hint="eastAsia"/>
                <w:sz w:val="18"/>
                <w:szCs w:val="18"/>
              </w:rPr>
              <w:t>年</w:t>
            </w:r>
          </w:p>
        </w:tc>
        <w:tc>
          <w:tcPr>
            <w:tcW w:w="3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ind w:firstLine="424"/>
              <w:jc w:val="center"/>
            </w:pPr>
            <w:r>
              <w:rPr>
                <w:rFonts w:ascii="Times New Roman" w:hAnsi="Times New Roman" w:cs="Times New Roman"/>
                <w:sz w:val="21"/>
                <w:szCs w:val="21"/>
              </w:rPr>
              <w:t> </w:t>
            </w:r>
          </w:p>
        </w:tc>
      </w:tr>
      <w:tr w:rsidR="00BE788E">
        <w:trPr>
          <w:divId w:val="1529678408"/>
          <w:trHeight w:val="340"/>
          <w:jc w:val="center"/>
        </w:trPr>
        <w:tc>
          <w:tcPr>
            <w:tcW w:w="28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其他</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ascii="Times New Roman" w:hAnsi="Times New Roman" w:cs="Times New Roman"/>
                <w:sz w:val="18"/>
                <w:szCs w:val="18"/>
              </w:rPr>
              <w:t>2-5</w:t>
            </w:r>
            <w:r>
              <w:rPr>
                <w:rFonts w:hint="eastAsia"/>
                <w:sz w:val="18"/>
                <w:szCs w:val="18"/>
              </w:rPr>
              <w:t>年</w:t>
            </w:r>
          </w:p>
        </w:tc>
        <w:tc>
          <w:tcPr>
            <w:tcW w:w="3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ind w:firstLine="424"/>
              <w:jc w:val="center"/>
            </w:pPr>
            <w:r>
              <w:rPr>
                <w:rFonts w:ascii="Times New Roman" w:hAnsi="Times New Roman" w:cs="Times New Roman"/>
                <w:sz w:val="21"/>
                <w:szCs w:val="21"/>
              </w:rPr>
              <w:t> </w:t>
            </w:r>
          </w:p>
        </w:tc>
      </w:tr>
    </w:tbl>
    <w:p w:rsidR="00037019" w:rsidRDefault="00BE788E">
      <w:pPr>
        <w:pStyle w:val="3"/>
        <w:spacing w:line="280" w:lineRule="exact"/>
        <w:jc w:val="left"/>
        <w:rPr>
          <w:rFonts w:ascii="宋体" w:hAnsi="宋体" w:cs="宋体"/>
          <w:b/>
          <w:bCs/>
        </w:rPr>
      </w:pPr>
      <w:bookmarkStart w:id="52" w:name="_Toc989042"/>
      <w:r>
        <w:rPr>
          <w:rFonts w:ascii="宋体" w:hAnsi="宋体" w:cs="宋体"/>
          <w:b/>
          <w:bCs/>
        </w:rPr>
        <w:t>32、合同负债</w:t>
      </w:r>
      <w:bookmarkEnd w:id="52"/>
    </w:p>
    <w:p w:rsidR="00BE788E" w:rsidRPr="004E7FBF" w:rsidRDefault="00BE788E">
      <w:pPr>
        <w:pStyle w:val="a3"/>
        <w:spacing w:before="0" w:beforeAutospacing="0" w:after="0" w:afterAutospacing="0" w:line="360" w:lineRule="auto"/>
        <w:ind w:firstLine="420"/>
        <w:jc w:val="both"/>
        <w:divId w:val="2068138994"/>
        <w:rPr>
          <w:sz w:val="18"/>
          <w:szCs w:val="18"/>
        </w:rPr>
      </w:pPr>
      <w:r>
        <w:rPr>
          <w:rFonts w:hint="eastAsia"/>
          <w:sz w:val="18"/>
          <w:szCs w:val="18"/>
        </w:rPr>
        <w:t>本公司将已收或应收客户对价而应向客户转让商品的义务部分确认为合同负债。</w:t>
      </w:r>
    </w:p>
    <w:p w:rsidR="00037019" w:rsidRDefault="00BE788E">
      <w:pPr>
        <w:pStyle w:val="3"/>
        <w:spacing w:line="280" w:lineRule="exact"/>
        <w:jc w:val="left"/>
        <w:rPr>
          <w:rFonts w:ascii="宋体" w:hAnsi="宋体" w:cs="宋体"/>
          <w:b/>
          <w:bCs/>
        </w:rPr>
      </w:pPr>
      <w:bookmarkStart w:id="53" w:name="_Toc989043"/>
      <w:r>
        <w:rPr>
          <w:rFonts w:ascii="宋体" w:hAnsi="宋体" w:cs="宋体"/>
          <w:b/>
          <w:bCs/>
        </w:rPr>
        <w:t>33、职工薪</w:t>
      </w:r>
      <w:proofErr w:type="gramStart"/>
      <w:r>
        <w:rPr>
          <w:rFonts w:ascii="宋体" w:hAnsi="宋体" w:cs="宋体"/>
          <w:b/>
          <w:bCs/>
        </w:rPr>
        <w:t>酬</w:t>
      </w:r>
      <w:bookmarkEnd w:id="53"/>
      <w:proofErr w:type="gramEnd"/>
    </w:p>
    <w:p w:rsidR="00037019" w:rsidRDefault="00BE788E">
      <w:pPr>
        <w:keepNext/>
        <w:keepLines/>
        <w:spacing w:before="300" w:after="300" w:line="280" w:lineRule="exact"/>
        <w:outlineLvl w:val="3"/>
        <w:rPr>
          <w:rFonts w:ascii="宋体" w:eastAsia="宋体" w:hAnsi="宋体" w:cs="宋体"/>
          <w:b/>
          <w:bCs/>
          <w:szCs w:val="21"/>
        </w:rPr>
      </w:pPr>
      <w:bookmarkStart w:id="54" w:name="_Toc989044"/>
      <w:r>
        <w:rPr>
          <w:rFonts w:ascii="宋体" w:eastAsia="宋体" w:hAnsi="宋体" w:cs="宋体"/>
          <w:b/>
          <w:bCs/>
          <w:szCs w:val="21"/>
        </w:rPr>
        <w:t>（1） 短期薪酬的会计处理方法</w:t>
      </w:r>
      <w:bookmarkEnd w:id="54"/>
    </w:p>
    <w:p w:rsidR="00BE788E" w:rsidRPr="004E7FBF" w:rsidRDefault="00BE788E" w:rsidP="004E7FBF">
      <w:pPr>
        <w:pStyle w:val="a3"/>
        <w:spacing w:before="0" w:beforeAutospacing="0" w:after="0" w:afterAutospacing="0"/>
        <w:ind w:firstLine="420"/>
        <w:jc w:val="both"/>
        <w:divId w:val="633171968"/>
        <w:rPr>
          <w:sz w:val="18"/>
          <w:szCs w:val="18"/>
        </w:rPr>
      </w:pPr>
      <w:r>
        <w:rPr>
          <w:rFonts w:hint="eastAsia"/>
          <w:sz w:val="18"/>
          <w:szCs w:val="18"/>
        </w:rPr>
        <w:t>短期薪酬是指本公司在职工提供相关服务的年度报告期间结束后十二个月内需要全部予以支付的职工薪酬，离职后福利和辞退福利除外。本公司在职工提供服务的会计期间，将应付的短期薪酬确认为负债，并根据职工提供服务的受益对象计入相关资产成本和费用。</w:t>
      </w:r>
    </w:p>
    <w:p w:rsidR="00037019" w:rsidRDefault="00BE788E">
      <w:pPr>
        <w:keepNext/>
        <w:keepLines/>
        <w:spacing w:before="300" w:after="300" w:line="280" w:lineRule="exact"/>
        <w:outlineLvl w:val="3"/>
        <w:rPr>
          <w:rFonts w:ascii="宋体" w:eastAsia="宋体" w:hAnsi="宋体" w:cs="宋体"/>
          <w:b/>
          <w:bCs/>
          <w:szCs w:val="21"/>
        </w:rPr>
      </w:pPr>
      <w:bookmarkStart w:id="55" w:name="_Toc989045"/>
      <w:r>
        <w:rPr>
          <w:rFonts w:ascii="宋体" w:eastAsia="宋体" w:hAnsi="宋体" w:cs="宋体"/>
          <w:b/>
          <w:bCs/>
          <w:szCs w:val="21"/>
        </w:rPr>
        <w:t>（2） 离职后福利的会计处理方法</w:t>
      </w:r>
      <w:bookmarkEnd w:id="55"/>
    </w:p>
    <w:p w:rsidR="00BE788E" w:rsidRPr="004E7FBF" w:rsidRDefault="00BE788E" w:rsidP="004E7FBF">
      <w:pPr>
        <w:pStyle w:val="a3"/>
        <w:spacing w:before="0" w:beforeAutospacing="0" w:after="0" w:afterAutospacing="0"/>
        <w:ind w:firstLine="420"/>
        <w:jc w:val="both"/>
        <w:divId w:val="1647975770"/>
        <w:rPr>
          <w:sz w:val="18"/>
          <w:szCs w:val="18"/>
        </w:rPr>
      </w:pPr>
      <w:r>
        <w:rPr>
          <w:rFonts w:hint="eastAsia"/>
          <w:sz w:val="18"/>
          <w:szCs w:val="18"/>
        </w:rPr>
        <w:t>离职后福利是指本公司为获得职工提供的服务而在职工退休或与企业解除劳动关系后，提供的各种形式的报酬和福利，短期</w:t>
      </w:r>
      <w:proofErr w:type="gramStart"/>
      <w:r>
        <w:rPr>
          <w:rFonts w:hint="eastAsia"/>
          <w:sz w:val="18"/>
          <w:szCs w:val="18"/>
        </w:rPr>
        <w:t>薪</w:t>
      </w:r>
      <w:proofErr w:type="gramEnd"/>
      <w:r>
        <w:rPr>
          <w:rFonts w:hint="eastAsia"/>
          <w:sz w:val="18"/>
          <w:szCs w:val="18"/>
        </w:rPr>
        <w:t>酬和辞退福利除外。</w:t>
      </w:r>
    </w:p>
    <w:p w:rsidR="00BE788E" w:rsidRPr="004E7FBF" w:rsidRDefault="00BE788E" w:rsidP="004E7FBF">
      <w:pPr>
        <w:pStyle w:val="a3"/>
        <w:spacing w:before="0" w:beforeAutospacing="0" w:after="0" w:afterAutospacing="0"/>
        <w:ind w:firstLine="420"/>
        <w:jc w:val="both"/>
        <w:divId w:val="1647975770"/>
        <w:rPr>
          <w:sz w:val="18"/>
          <w:szCs w:val="18"/>
        </w:rPr>
      </w:pPr>
      <w:r>
        <w:rPr>
          <w:rFonts w:hint="eastAsia"/>
          <w:sz w:val="18"/>
          <w:szCs w:val="18"/>
        </w:rPr>
        <w:t>本公司的离职后福利计划分类为设定提存计划和设定受益计划。</w:t>
      </w:r>
    </w:p>
    <w:p w:rsidR="00BE788E" w:rsidRPr="004E7FBF" w:rsidRDefault="00BE788E" w:rsidP="004E7FBF">
      <w:pPr>
        <w:pStyle w:val="a3"/>
        <w:spacing w:before="0" w:beforeAutospacing="0" w:after="0" w:afterAutospacing="0"/>
        <w:ind w:firstLine="420"/>
        <w:jc w:val="both"/>
        <w:divId w:val="1647975770"/>
        <w:rPr>
          <w:sz w:val="18"/>
          <w:szCs w:val="18"/>
        </w:rPr>
      </w:pPr>
      <w:r>
        <w:rPr>
          <w:rFonts w:hint="eastAsia"/>
          <w:sz w:val="18"/>
          <w:szCs w:val="18"/>
        </w:rPr>
        <w:t>离职后福利设定提存计划主要为参加由各地劳动及社会保障机构组织实施的社会基本养老保险、失业保险等；在职工为本公司提供服务的会计期间，将根据设定提存计划计算的应缴存金额确认为负债，并计入当期损益或相关资产成本。</w:t>
      </w:r>
    </w:p>
    <w:p w:rsidR="00BE788E" w:rsidRPr="004E7FBF" w:rsidRDefault="00BE788E" w:rsidP="004E7FBF">
      <w:pPr>
        <w:pStyle w:val="a3"/>
        <w:spacing w:before="0" w:beforeAutospacing="0" w:after="0" w:afterAutospacing="0"/>
        <w:ind w:firstLine="420"/>
        <w:jc w:val="both"/>
        <w:divId w:val="1647975770"/>
        <w:rPr>
          <w:sz w:val="18"/>
          <w:szCs w:val="18"/>
        </w:rPr>
      </w:pPr>
      <w:r>
        <w:rPr>
          <w:rFonts w:hint="eastAsia"/>
          <w:sz w:val="18"/>
          <w:szCs w:val="18"/>
        </w:rPr>
        <w:t>本公司按照国家规定的标准定期缴付上述款项后，不再有其他的支付义务。</w:t>
      </w:r>
    </w:p>
    <w:p w:rsidR="00037019" w:rsidRDefault="00BE788E">
      <w:pPr>
        <w:keepNext/>
        <w:keepLines/>
        <w:spacing w:before="300" w:after="300" w:line="280" w:lineRule="exact"/>
        <w:outlineLvl w:val="3"/>
        <w:rPr>
          <w:rFonts w:ascii="宋体" w:eastAsia="宋体" w:hAnsi="宋体" w:cs="宋体"/>
          <w:b/>
          <w:bCs/>
          <w:szCs w:val="21"/>
        </w:rPr>
      </w:pPr>
      <w:bookmarkStart w:id="56" w:name="_Toc989046"/>
      <w:r>
        <w:rPr>
          <w:rFonts w:ascii="宋体" w:eastAsia="宋体" w:hAnsi="宋体" w:cs="宋体"/>
          <w:b/>
          <w:bCs/>
          <w:szCs w:val="21"/>
        </w:rPr>
        <w:t>（3） 辞退福利的会计处理方法</w:t>
      </w:r>
      <w:bookmarkEnd w:id="56"/>
    </w:p>
    <w:p w:rsidR="00BE788E" w:rsidRPr="004E7FBF" w:rsidRDefault="00BE788E" w:rsidP="004E7FBF">
      <w:pPr>
        <w:pStyle w:val="a3"/>
        <w:spacing w:before="0" w:beforeAutospacing="0" w:after="0" w:afterAutospacing="0"/>
        <w:ind w:firstLine="420"/>
        <w:jc w:val="both"/>
        <w:divId w:val="580331132"/>
        <w:rPr>
          <w:sz w:val="18"/>
          <w:szCs w:val="18"/>
        </w:rPr>
      </w:pPr>
      <w:r>
        <w:rPr>
          <w:rFonts w:hint="eastAsia"/>
          <w:sz w:val="18"/>
          <w:szCs w:val="18"/>
        </w:rPr>
        <w:t>辞退福利是指本公司在职工劳动合同到期之前解除与职工的劳动关系，或者为鼓励职工自愿接受裁减而给予职工的补偿，在本公司不能单方面撤回解除劳动关系计划或裁减建议时和确认与涉及支付辞退福利的重组相关的成本费用时两者</w:t>
      </w:r>
      <w:proofErr w:type="gramStart"/>
      <w:r>
        <w:rPr>
          <w:rFonts w:hint="eastAsia"/>
          <w:sz w:val="18"/>
          <w:szCs w:val="18"/>
        </w:rPr>
        <w:t>孰</w:t>
      </w:r>
      <w:proofErr w:type="gramEnd"/>
      <w:r>
        <w:rPr>
          <w:rFonts w:hint="eastAsia"/>
          <w:sz w:val="18"/>
          <w:szCs w:val="18"/>
        </w:rPr>
        <w:t>早日，</w:t>
      </w:r>
      <w:proofErr w:type="gramStart"/>
      <w:r>
        <w:rPr>
          <w:rFonts w:hint="eastAsia"/>
          <w:sz w:val="18"/>
          <w:szCs w:val="18"/>
        </w:rPr>
        <w:t>确认因</w:t>
      </w:r>
      <w:proofErr w:type="gramEnd"/>
      <w:r>
        <w:rPr>
          <w:rFonts w:hint="eastAsia"/>
          <w:sz w:val="18"/>
          <w:szCs w:val="18"/>
        </w:rPr>
        <w:t>解除与职工的劳动关系给予补偿而产生的负债，同时计入当期损益。</w:t>
      </w:r>
    </w:p>
    <w:p w:rsidR="00BE788E" w:rsidRPr="004E7FBF" w:rsidRDefault="00BE788E" w:rsidP="004E7FBF">
      <w:pPr>
        <w:pStyle w:val="a3"/>
        <w:spacing w:before="0" w:beforeAutospacing="0" w:after="0" w:afterAutospacing="0"/>
        <w:ind w:firstLine="420"/>
        <w:jc w:val="both"/>
        <w:divId w:val="580331132"/>
        <w:rPr>
          <w:sz w:val="18"/>
          <w:szCs w:val="18"/>
        </w:rPr>
      </w:pPr>
      <w:r>
        <w:rPr>
          <w:rFonts w:hint="eastAsia"/>
          <w:sz w:val="18"/>
          <w:szCs w:val="18"/>
        </w:rPr>
        <w:lastRenderedPageBreak/>
        <w:t>本公司向接受内部退休安排的职工提供内退福利。内退福利是指，向未达到国家规定的退休年龄、经本公司管理层批准自愿退出工作岗位的职工支付的工资及为其缴纳的社会保险费等。本公司</w:t>
      </w:r>
      <w:proofErr w:type="gramStart"/>
      <w:r>
        <w:rPr>
          <w:rFonts w:hint="eastAsia"/>
          <w:sz w:val="18"/>
          <w:szCs w:val="18"/>
        </w:rPr>
        <w:t>自内部</w:t>
      </w:r>
      <w:proofErr w:type="gramEnd"/>
      <w:r>
        <w:rPr>
          <w:rFonts w:hint="eastAsia"/>
          <w:sz w:val="18"/>
          <w:szCs w:val="18"/>
        </w:rPr>
        <w:t>退休安排开始之日起</w:t>
      </w:r>
      <w:proofErr w:type="gramStart"/>
      <w:r>
        <w:rPr>
          <w:rFonts w:hint="eastAsia"/>
          <w:sz w:val="18"/>
          <w:szCs w:val="18"/>
        </w:rPr>
        <w:t>至职工</w:t>
      </w:r>
      <w:proofErr w:type="gramEnd"/>
      <w:r>
        <w:rPr>
          <w:rFonts w:hint="eastAsia"/>
          <w:sz w:val="18"/>
          <w:szCs w:val="18"/>
        </w:rPr>
        <w:t>达到正常退休年龄止，向内退职</w:t>
      </w:r>
      <w:proofErr w:type="gramStart"/>
      <w:r>
        <w:rPr>
          <w:rFonts w:hint="eastAsia"/>
          <w:sz w:val="18"/>
          <w:szCs w:val="18"/>
        </w:rPr>
        <w:t>工支付</w:t>
      </w:r>
      <w:proofErr w:type="gramEnd"/>
      <w:r>
        <w:rPr>
          <w:rFonts w:hint="eastAsia"/>
          <w:sz w:val="18"/>
          <w:szCs w:val="18"/>
        </w:rPr>
        <w:t>内部退养福利。对于内退福利，本公司比照辞退福利进行会计处理，在符合辞退福利相关确认条件时，将</w:t>
      </w:r>
      <w:proofErr w:type="gramStart"/>
      <w:r>
        <w:rPr>
          <w:rFonts w:hint="eastAsia"/>
          <w:sz w:val="18"/>
          <w:szCs w:val="18"/>
        </w:rPr>
        <w:t>自职工</w:t>
      </w:r>
      <w:proofErr w:type="gramEnd"/>
      <w:r>
        <w:rPr>
          <w:rFonts w:hint="eastAsia"/>
          <w:sz w:val="18"/>
          <w:szCs w:val="18"/>
        </w:rPr>
        <w:t>停止提供服务日至正常退休日期间</w:t>
      </w:r>
      <w:proofErr w:type="gramStart"/>
      <w:r>
        <w:rPr>
          <w:rFonts w:hint="eastAsia"/>
          <w:sz w:val="18"/>
          <w:szCs w:val="18"/>
        </w:rPr>
        <w:t>拟支付</w:t>
      </w:r>
      <w:proofErr w:type="gramEnd"/>
      <w:r>
        <w:rPr>
          <w:rFonts w:hint="eastAsia"/>
          <w:sz w:val="18"/>
          <w:szCs w:val="18"/>
        </w:rPr>
        <w:t>的内退职工工资和缴纳的社会保险费等，确认为负债，一次性计入当期损益。内退福利的精算假设变化及福利标准调整引起的差异于发生时计入当期损益。</w:t>
      </w:r>
    </w:p>
    <w:p w:rsidR="00037019" w:rsidRDefault="00BE788E">
      <w:pPr>
        <w:keepNext/>
        <w:keepLines/>
        <w:spacing w:before="300" w:after="300" w:line="280" w:lineRule="exact"/>
        <w:outlineLvl w:val="3"/>
        <w:rPr>
          <w:rFonts w:ascii="宋体" w:eastAsia="宋体" w:hAnsi="宋体" w:cs="宋体"/>
          <w:b/>
          <w:bCs/>
          <w:szCs w:val="21"/>
        </w:rPr>
      </w:pPr>
      <w:bookmarkStart w:id="57" w:name="_Toc989047"/>
      <w:r>
        <w:rPr>
          <w:rFonts w:ascii="宋体" w:eastAsia="宋体" w:hAnsi="宋体" w:cs="宋体"/>
          <w:b/>
          <w:bCs/>
          <w:szCs w:val="21"/>
        </w:rPr>
        <w:t>（4） 其他长期职工福利的会计处理方法</w:t>
      </w:r>
      <w:bookmarkEnd w:id="57"/>
    </w:p>
    <w:p w:rsidR="00BE788E" w:rsidRPr="004E7FBF" w:rsidRDefault="00BE788E" w:rsidP="004E7FBF">
      <w:pPr>
        <w:pStyle w:val="a3"/>
        <w:spacing w:before="0" w:beforeAutospacing="0" w:after="0" w:afterAutospacing="0"/>
        <w:ind w:firstLine="420"/>
        <w:jc w:val="both"/>
        <w:divId w:val="1840197601"/>
        <w:rPr>
          <w:sz w:val="18"/>
          <w:szCs w:val="18"/>
        </w:rPr>
      </w:pPr>
      <w:r>
        <w:rPr>
          <w:rFonts w:hint="eastAsia"/>
          <w:sz w:val="18"/>
          <w:szCs w:val="18"/>
        </w:rPr>
        <w:t>其他长期职工福利是指除短期薪酬、离职后福利、辞退福利之外的其他所有职工福利。</w:t>
      </w:r>
    </w:p>
    <w:p w:rsidR="00BE788E" w:rsidRPr="004E7FBF" w:rsidRDefault="00BE788E" w:rsidP="004E7FBF">
      <w:pPr>
        <w:pStyle w:val="a3"/>
        <w:spacing w:before="0" w:beforeAutospacing="0" w:after="0" w:afterAutospacing="0"/>
        <w:ind w:firstLine="420"/>
        <w:jc w:val="both"/>
        <w:divId w:val="1840197601"/>
        <w:rPr>
          <w:sz w:val="18"/>
          <w:szCs w:val="18"/>
        </w:rPr>
      </w:pPr>
      <w:r>
        <w:rPr>
          <w:rFonts w:hint="eastAsia"/>
          <w:sz w:val="18"/>
          <w:szCs w:val="18"/>
        </w:rPr>
        <w:t>对符合设定提存计划条件的其他长期职工福利，在职工为本公司提供服务的会计期间，将应缴存金额确认为负债，并计入当期损益或相关资产成本；除上述情形外的其他长期职工福利，在资产负债表日使用预期累计福利单位法进行精算，将设定受益计划产生的福利义务归属于职工提供服务的期间，并计入当期损益或相关资产成本。</w:t>
      </w:r>
    </w:p>
    <w:p w:rsidR="00037019" w:rsidRDefault="00BE788E">
      <w:pPr>
        <w:pStyle w:val="3"/>
        <w:spacing w:line="280" w:lineRule="exact"/>
        <w:jc w:val="left"/>
        <w:rPr>
          <w:rFonts w:ascii="宋体" w:hAnsi="宋体" w:cs="宋体"/>
          <w:b/>
          <w:bCs/>
        </w:rPr>
      </w:pPr>
      <w:bookmarkStart w:id="58" w:name="_Toc989048"/>
      <w:r>
        <w:rPr>
          <w:rFonts w:ascii="宋体" w:hAnsi="宋体" w:cs="宋体"/>
          <w:b/>
          <w:bCs/>
        </w:rPr>
        <w:t>34、预计负债</w:t>
      </w:r>
      <w:bookmarkEnd w:id="58"/>
    </w:p>
    <w:p w:rsidR="00BE788E" w:rsidRDefault="00BE788E" w:rsidP="00F34484">
      <w:pPr>
        <w:widowControl/>
        <w:numPr>
          <w:ilvl w:val="0"/>
          <w:numId w:val="76"/>
        </w:numPr>
        <w:spacing w:before="100" w:beforeAutospacing="1" w:after="100" w:afterAutospacing="1"/>
        <w:divId w:val="95171836"/>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预计负债的确认标准</w:t>
      </w:r>
    </w:p>
    <w:p w:rsidR="00BE788E" w:rsidRPr="004E7FBF" w:rsidRDefault="00BE788E" w:rsidP="004E7FBF">
      <w:pPr>
        <w:pStyle w:val="a3"/>
        <w:spacing w:before="0" w:beforeAutospacing="0" w:after="0" w:afterAutospacing="0"/>
        <w:ind w:firstLine="420"/>
        <w:jc w:val="both"/>
        <w:divId w:val="95171836"/>
        <w:rPr>
          <w:sz w:val="18"/>
          <w:szCs w:val="18"/>
        </w:rPr>
      </w:pPr>
      <w:r>
        <w:rPr>
          <w:rFonts w:hint="eastAsia"/>
          <w:sz w:val="18"/>
          <w:szCs w:val="18"/>
        </w:rPr>
        <w:t>当与或有事项相关的义务是本公司承担的现时义务，且履行该义务很可能导致经济利益流出，以及该义务的金额能够可靠地计量，则确认为预计负债。</w:t>
      </w:r>
    </w:p>
    <w:p w:rsidR="00BE788E" w:rsidRDefault="00BE788E" w:rsidP="00F34484">
      <w:pPr>
        <w:widowControl/>
        <w:numPr>
          <w:ilvl w:val="0"/>
          <w:numId w:val="77"/>
        </w:numPr>
        <w:spacing w:before="100" w:beforeAutospacing="1" w:after="100" w:afterAutospacing="1"/>
        <w:divId w:val="95171836"/>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预计负债的计量方法</w:t>
      </w:r>
    </w:p>
    <w:p w:rsidR="00BE788E" w:rsidRPr="004E7FBF" w:rsidRDefault="00BE788E" w:rsidP="004E7FBF">
      <w:pPr>
        <w:pStyle w:val="a3"/>
        <w:spacing w:before="0" w:beforeAutospacing="0" w:after="0" w:afterAutospacing="0"/>
        <w:ind w:firstLine="420"/>
        <w:jc w:val="both"/>
        <w:divId w:val="95171836"/>
        <w:rPr>
          <w:sz w:val="18"/>
          <w:szCs w:val="18"/>
        </w:rPr>
      </w:pPr>
      <w:r>
        <w:rPr>
          <w:rFonts w:hint="eastAsia"/>
          <w:sz w:val="18"/>
          <w:szCs w:val="18"/>
        </w:rPr>
        <w:t>本公司预计负债</w:t>
      </w:r>
      <w:proofErr w:type="gramStart"/>
      <w:r>
        <w:rPr>
          <w:rFonts w:hint="eastAsia"/>
          <w:sz w:val="18"/>
          <w:szCs w:val="18"/>
        </w:rPr>
        <w:t>按履行</w:t>
      </w:r>
      <w:proofErr w:type="gramEnd"/>
      <w:r>
        <w:rPr>
          <w:rFonts w:hint="eastAsia"/>
          <w:sz w:val="18"/>
          <w:szCs w:val="18"/>
        </w:rPr>
        <w:t>相关现时义务所需的支出的最佳估计数进行初始计量。</w:t>
      </w:r>
    </w:p>
    <w:p w:rsidR="00BE788E" w:rsidRPr="004E7FBF" w:rsidRDefault="00BE788E" w:rsidP="004E7FBF">
      <w:pPr>
        <w:pStyle w:val="a3"/>
        <w:spacing w:before="0" w:beforeAutospacing="0" w:after="0" w:afterAutospacing="0"/>
        <w:ind w:firstLine="420"/>
        <w:jc w:val="both"/>
        <w:divId w:val="95171836"/>
        <w:rPr>
          <w:sz w:val="18"/>
          <w:szCs w:val="18"/>
        </w:rPr>
      </w:pPr>
      <w:r>
        <w:rPr>
          <w:rFonts w:hint="eastAsia"/>
          <w:sz w:val="18"/>
          <w:szCs w:val="18"/>
        </w:rPr>
        <w:t>本公司在确定最佳估计数时，综合考虑与或有事项有关的风险、不确定性和货币时间价值等因素。对于货币时间价值影响重大的，通过对相关未来现金流出进行折现后确定最佳估计数。</w:t>
      </w:r>
    </w:p>
    <w:p w:rsidR="00BE788E" w:rsidRPr="004E7FBF" w:rsidRDefault="00BE788E" w:rsidP="004E7FBF">
      <w:pPr>
        <w:pStyle w:val="a3"/>
        <w:spacing w:before="0" w:beforeAutospacing="0" w:after="0" w:afterAutospacing="0"/>
        <w:ind w:firstLine="420"/>
        <w:jc w:val="both"/>
        <w:divId w:val="95171836"/>
        <w:rPr>
          <w:sz w:val="18"/>
          <w:szCs w:val="18"/>
        </w:rPr>
      </w:pPr>
      <w:r>
        <w:rPr>
          <w:rFonts w:hint="eastAsia"/>
          <w:sz w:val="18"/>
          <w:szCs w:val="18"/>
        </w:rPr>
        <w:t>最佳估计数分别以下情况处理：</w:t>
      </w:r>
    </w:p>
    <w:p w:rsidR="00BE788E" w:rsidRPr="004E7FBF" w:rsidRDefault="00BE788E" w:rsidP="004E7FBF">
      <w:pPr>
        <w:pStyle w:val="a3"/>
        <w:spacing w:before="0" w:beforeAutospacing="0" w:after="0" w:afterAutospacing="0"/>
        <w:ind w:firstLine="420"/>
        <w:jc w:val="both"/>
        <w:divId w:val="95171836"/>
        <w:rPr>
          <w:sz w:val="18"/>
          <w:szCs w:val="18"/>
        </w:rPr>
      </w:pPr>
      <w:r>
        <w:rPr>
          <w:rFonts w:hint="eastAsia"/>
          <w:sz w:val="18"/>
          <w:szCs w:val="18"/>
        </w:rPr>
        <w:t>所需支出存在一个连续范围（或区间），且该范围内各种结果发生的可能性相同的，</w:t>
      </w:r>
      <w:proofErr w:type="gramStart"/>
      <w:r>
        <w:rPr>
          <w:rFonts w:hint="eastAsia"/>
          <w:sz w:val="18"/>
          <w:szCs w:val="18"/>
        </w:rPr>
        <w:t>则最佳估计数按照</w:t>
      </w:r>
      <w:proofErr w:type="gramEnd"/>
      <w:r>
        <w:rPr>
          <w:rFonts w:hint="eastAsia"/>
          <w:sz w:val="18"/>
          <w:szCs w:val="18"/>
        </w:rPr>
        <w:t>该范围的中间值即上下限金额的平均数确定。</w:t>
      </w:r>
    </w:p>
    <w:p w:rsidR="00BE788E" w:rsidRPr="004E7FBF" w:rsidRDefault="00BE788E" w:rsidP="004E7FBF">
      <w:pPr>
        <w:pStyle w:val="a3"/>
        <w:spacing w:before="0" w:beforeAutospacing="0" w:after="0" w:afterAutospacing="0"/>
        <w:ind w:firstLine="420"/>
        <w:jc w:val="both"/>
        <w:divId w:val="95171836"/>
        <w:rPr>
          <w:sz w:val="18"/>
          <w:szCs w:val="18"/>
        </w:rPr>
      </w:pPr>
      <w:r>
        <w:rPr>
          <w:rFonts w:hint="eastAsia"/>
          <w:sz w:val="18"/>
          <w:szCs w:val="18"/>
        </w:rPr>
        <w:t>所需支出不存在一个连续范围（或区间），或虽然存在一个连续范围但该范围内各种结果发生的可能性不相同的，如或有事项涉及单个项目的，</w:t>
      </w:r>
      <w:proofErr w:type="gramStart"/>
      <w:r>
        <w:rPr>
          <w:rFonts w:hint="eastAsia"/>
          <w:sz w:val="18"/>
          <w:szCs w:val="18"/>
        </w:rPr>
        <w:t>则最佳估计数按照</w:t>
      </w:r>
      <w:proofErr w:type="gramEnd"/>
      <w:r>
        <w:rPr>
          <w:rFonts w:hint="eastAsia"/>
          <w:sz w:val="18"/>
          <w:szCs w:val="18"/>
        </w:rPr>
        <w:t>最可能发生金额确定；如或有事项涉及多个项目的，</w:t>
      </w:r>
      <w:proofErr w:type="gramStart"/>
      <w:r>
        <w:rPr>
          <w:rFonts w:hint="eastAsia"/>
          <w:sz w:val="18"/>
          <w:szCs w:val="18"/>
        </w:rPr>
        <w:t>则最佳</w:t>
      </w:r>
      <w:proofErr w:type="gramEnd"/>
      <w:r>
        <w:rPr>
          <w:rFonts w:hint="eastAsia"/>
          <w:sz w:val="18"/>
          <w:szCs w:val="18"/>
        </w:rPr>
        <w:t>估计数按各种可能结果及相关概率计算确定。</w:t>
      </w:r>
    </w:p>
    <w:p w:rsidR="00BE788E" w:rsidRPr="004E7FBF" w:rsidRDefault="00BE788E" w:rsidP="004E7FBF">
      <w:pPr>
        <w:pStyle w:val="a3"/>
        <w:spacing w:before="0" w:beforeAutospacing="0" w:after="0" w:afterAutospacing="0"/>
        <w:ind w:firstLine="420"/>
        <w:jc w:val="both"/>
        <w:divId w:val="95171836"/>
        <w:rPr>
          <w:sz w:val="18"/>
          <w:szCs w:val="18"/>
        </w:rPr>
      </w:pPr>
      <w:r>
        <w:rPr>
          <w:rFonts w:hint="eastAsia"/>
          <w:sz w:val="18"/>
          <w:szCs w:val="18"/>
        </w:rPr>
        <w:t>本公司清偿预计负债所需支出全部或部分预期由第三方补偿的，补偿金额在基本确定能够收到时，作为资产单独确认，确认的补偿金额不超过预计负债的账面价值。</w:t>
      </w:r>
    </w:p>
    <w:p w:rsidR="00037019" w:rsidRDefault="00BE788E">
      <w:pPr>
        <w:pStyle w:val="3"/>
        <w:spacing w:line="280" w:lineRule="exact"/>
        <w:jc w:val="left"/>
        <w:rPr>
          <w:rFonts w:ascii="宋体" w:hAnsi="宋体" w:cs="宋体"/>
          <w:b/>
          <w:bCs/>
        </w:rPr>
      </w:pPr>
      <w:bookmarkStart w:id="59" w:name="_Toc989049"/>
      <w:r>
        <w:rPr>
          <w:rFonts w:ascii="宋体" w:hAnsi="宋体" w:cs="宋体"/>
          <w:b/>
          <w:bCs/>
        </w:rPr>
        <w:t>35、股份支付</w:t>
      </w:r>
      <w:bookmarkEnd w:id="59"/>
    </w:p>
    <w:p w:rsidR="00BE788E" w:rsidRDefault="00BE788E" w:rsidP="00F34484">
      <w:pPr>
        <w:widowControl/>
        <w:numPr>
          <w:ilvl w:val="0"/>
          <w:numId w:val="78"/>
        </w:numPr>
        <w:spacing w:before="100" w:beforeAutospacing="1" w:after="100" w:afterAutospacing="1"/>
        <w:divId w:val="85599814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股份支付的种类</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本公司的股份支付分为以权益结算的股份支付和以现金结算的股份支付。</w:t>
      </w:r>
    </w:p>
    <w:p w:rsidR="00BE788E" w:rsidRDefault="00BE788E" w:rsidP="00F34484">
      <w:pPr>
        <w:widowControl/>
        <w:numPr>
          <w:ilvl w:val="0"/>
          <w:numId w:val="79"/>
        </w:numPr>
        <w:spacing w:before="100" w:beforeAutospacing="1" w:after="100" w:afterAutospacing="1"/>
        <w:divId w:val="85599814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权益工具公允价值的确定方法</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对于授予的存在活跃市场的期权等权益工具，按照活跃市场中的报价确定其公允价值。对于授予的不存在活跃市场的期权等权益工具，采用期权定价模型等确定其公允价值，选用的期权定价模型考虑以下因素：（1）期权的行权价格；</w:t>
      </w:r>
      <w:r>
        <w:rPr>
          <w:rFonts w:hint="eastAsia"/>
          <w:sz w:val="18"/>
          <w:szCs w:val="18"/>
        </w:rPr>
        <w:lastRenderedPageBreak/>
        <w:t>（2）期权的有效期；（3）标的股份的现行价格；（4）股价预计波动率；（5）股份的预计股利；（6）期权有效期内的无风险利率。</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在确定权益工具授予日的公允价值时，考虑股份支付协议规定的可行</w:t>
      </w:r>
      <w:proofErr w:type="gramStart"/>
      <w:r>
        <w:rPr>
          <w:rFonts w:hint="eastAsia"/>
          <w:sz w:val="18"/>
          <w:szCs w:val="18"/>
        </w:rPr>
        <w:t>权条件</w:t>
      </w:r>
      <w:proofErr w:type="gramEnd"/>
      <w:r>
        <w:rPr>
          <w:rFonts w:hint="eastAsia"/>
          <w:sz w:val="18"/>
          <w:szCs w:val="18"/>
        </w:rPr>
        <w:t>中的市场条件和非可行</w:t>
      </w:r>
      <w:proofErr w:type="gramStart"/>
      <w:r>
        <w:rPr>
          <w:rFonts w:hint="eastAsia"/>
          <w:sz w:val="18"/>
          <w:szCs w:val="18"/>
        </w:rPr>
        <w:t>权条件</w:t>
      </w:r>
      <w:proofErr w:type="gramEnd"/>
      <w:r>
        <w:rPr>
          <w:rFonts w:hint="eastAsia"/>
          <w:sz w:val="18"/>
          <w:szCs w:val="18"/>
        </w:rPr>
        <w:t>的影响。股份支付存在非可行</w:t>
      </w:r>
      <w:proofErr w:type="gramStart"/>
      <w:r>
        <w:rPr>
          <w:rFonts w:hint="eastAsia"/>
          <w:sz w:val="18"/>
          <w:szCs w:val="18"/>
        </w:rPr>
        <w:t>权条件</w:t>
      </w:r>
      <w:proofErr w:type="gramEnd"/>
      <w:r>
        <w:rPr>
          <w:rFonts w:hint="eastAsia"/>
          <w:sz w:val="18"/>
          <w:szCs w:val="18"/>
        </w:rPr>
        <w:t>的，只要职工或其他方满足了所有可行</w:t>
      </w:r>
      <w:proofErr w:type="gramStart"/>
      <w:r>
        <w:rPr>
          <w:rFonts w:hint="eastAsia"/>
          <w:sz w:val="18"/>
          <w:szCs w:val="18"/>
        </w:rPr>
        <w:t>权条件</w:t>
      </w:r>
      <w:proofErr w:type="gramEnd"/>
      <w:r>
        <w:rPr>
          <w:rFonts w:hint="eastAsia"/>
          <w:sz w:val="18"/>
          <w:szCs w:val="18"/>
        </w:rPr>
        <w:t>中的非市场条件（如服务期限等），即确认已得到服务相对应的成本费用。</w:t>
      </w:r>
    </w:p>
    <w:p w:rsidR="00BE788E" w:rsidRDefault="00BE788E" w:rsidP="00F34484">
      <w:pPr>
        <w:widowControl/>
        <w:numPr>
          <w:ilvl w:val="0"/>
          <w:numId w:val="80"/>
        </w:numPr>
        <w:spacing w:before="100" w:beforeAutospacing="1" w:after="100" w:afterAutospacing="1"/>
        <w:divId w:val="855998147"/>
        <w:rPr>
          <w:sz w:val="18"/>
          <w:szCs w:val="18"/>
        </w:rPr>
      </w:pPr>
      <w:r>
        <w:rPr>
          <w:rFonts w:ascii="Times New Roman" w:hAnsi="Times New Roman" w:cs="Times New Roman"/>
          <w:sz w:val="18"/>
          <w:szCs w:val="18"/>
        </w:rPr>
        <w:t>  </w:t>
      </w:r>
      <w:r>
        <w:rPr>
          <w:rFonts w:hint="eastAsia"/>
          <w:sz w:val="18"/>
          <w:szCs w:val="18"/>
        </w:rPr>
        <w:t>确定可行权权益工具最佳估计的依据</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等待期内每个资产负债表日，根据最新取得的可行</w:t>
      </w:r>
      <w:proofErr w:type="gramStart"/>
      <w:r>
        <w:rPr>
          <w:rFonts w:hint="eastAsia"/>
          <w:sz w:val="18"/>
          <w:szCs w:val="18"/>
        </w:rPr>
        <w:t>权职工</w:t>
      </w:r>
      <w:proofErr w:type="gramEnd"/>
      <w:r>
        <w:rPr>
          <w:rFonts w:hint="eastAsia"/>
          <w:sz w:val="18"/>
          <w:szCs w:val="18"/>
        </w:rPr>
        <w:t>人数变动等后续信息</w:t>
      </w:r>
      <w:proofErr w:type="gramStart"/>
      <w:r>
        <w:rPr>
          <w:rFonts w:hint="eastAsia"/>
          <w:sz w:val="18"/>
          <w:szCs w:val="18"/>
        </w:rPr>
        <w:t>作出</w:t>
      </w:r>
      <w:proofErr w:type="gramEnd"/>
      <w:r>
        <w:rPr>
          <w:rFonts w:hint="eastAsia"/>
          <w:sz w:val="18"/>
          <w:szCs w:val="18"/>
        </w:rPr>
        <w:t>最佳估计，修正预计可行权的权益工具数量。在可行权日，最终预计可行权权益工具的数量与实际可行权数量一致。</w:t>
      </w:r>
    </w:p>
    <w:p w:rsidR="00BE788E" w:rsidRDefault="00BE788E" w:rsidP="00F34484">
      <w:pPr>
        <w:widowControl/>
        <w:numPr>
          <w:ilvl w:val="0"/>
          <w:numId w:val="81"/>
        </w:numPr>
        <w:spacing w:before="100" w:beforeAutospacing="1" w:after="100" w:afterAutospacing="1"/>
        <w:divId w:val="85599814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会计处理方法</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（1）权益结算和现金结算股份支付的会计处理</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以权益结算的股份支付，按授予职工权益工具的公允价值计量。授予后立即可行权的，在授予</w:t>
      </w:r>
      <w:proofErr w:type="gramStart"/>
      <w:r>
        <w:rPr>
          <w:rFonts w:hint="eastAsia"/>
          <w:sz w:val="18"/>
          <w:szCs w:val="18"/>
        </w:rPr>
        <w:t>日按照</w:t>
      </w:r>
      <w:proofErr w:type="gramEnd"/>
      <w:r>
        <w:rPr>
          <w:rFonts w:hint="eastAsia"/>
          <w:sz w:val="18"/>
          <w:szCs w:val="18"/>
        </w:rPr>
        <w:t>权益工具的公允价值计入相关成本或费用，相应增加资本公积。在完成等待期内的服务或达到规定业绩条件才可行权的，在等待期内的每个资产负债表日，以对可行权权益工具数量的最佳估计为基础，按照权益工具授予日的公允价值，将当期取得的服务计入相关成本或费用和资本公积。在可行权日之后不再对已确认的相关成本或费用和所有者权益总额进行调整。</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以现金结算的股份支付，按照本公司承担的以股份或其他权益工具为基础计算确定的负债的公允价值计量。授予后立即可行权的，在授予日以本公司承担负债的公允价值计入相关成本或费用，相应增加负债。在完成等待期内的服务或达到规定业绩条件以后才可行权的以现金结算的股份支付，在等待期内的每个资产负债表日，以对可行</w:t>
      </w:r>
      <w:proofErr w:type="gramStart"/>
      <w:r>
        <w:rPr>
          <w:rFonts w:hint="eastAsia"/>
          <w:sz w:val="18"/>
          <w:szCs w:val="18"/>
        </w:rPr>
        <w:t>权情况</w:t>
      </w:r>
      <w:proofErr w:type="gramEnd"/>
      <w:r>
        <w:rPr>
          <w:rFonts w:hint="eastAsia"/>
          <w:sz w:val="18"/>
          <w:szCs w:val="18"/>
        </w:rPr>
        <w:t>的最佳估计为基础，按照本公司承担负债的公允价值金额，将当期取得的服务计入成本或费用和相应的负债。在相关负债结算前的每个资产负债表日以及结算日，对负债的公允价值重新计量，其变动计入当期损益。</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（2）股份支付条款和条件修改的会计处理</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对于不利修改，本公司视同该变更从未发生，仍继续对取得的服务进行会计处理。</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对于有利修改，本公司按照如下规定进行处理：如果修改增加了所授予的权益工具的公允价值，企业应按照权益工具公允价值的增加相应地确认取得服务的增加。如果修改发生在等待期内，在确认修改日至修改后的可行权日之间取得服务的公允价值时，应当既包括在剩余原等待期内以原权益工具授予日公允价值为基础确定的服务金额，也包括权益工具公允价值的增加。如果修改发生在可行权日之后，应当立即确认权益工具公允价值的增加。如果股份支付协议要求职工只有先完成更长期间的服务才能取得修改后的权益工具，则企业应在整个等待期内确认权益工具公允价值的增加。</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如果修改增加了所授予的权益工具的数量，企业将增加的权益工具的公允价值相应地确认为取得服务的增加。如果修改发生在等待期内，在确认修改日至增加的权益工具可行权日之间取得服务的公允价值时，应当既包括在剩余原等待期内以原权益工具授予日公允价值为基础确定的服务金额，也包括权益工具公允价值的增加。</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如果企业按照有利于职工的方式修改可行权条件，如缩短等待期、变更或取消业绩条件（而非市场条件），企业在处理可行</w:t>
      </w:r>
      <w:proofErr w:type="gramStart"/>
      <w:r>
        <w:rPr>
          <w:rFonts w:hint="eastAsia"/>
          <w:sz w:val="18"/>
          <w:szCs w:val="18"/>
        </w:rPr>
        <w:t>权条件</w:t>
      </w:r>
      <w:proofErr w:type="gramEnd"/>
      <w:r>
        <w:rPr>
          <w:rFonts w:hint="eastAsia"/>
          <w:sz w:val="18"/>
          <w:szCs w:val="18"/>
        </w:rPr>
        <w:t>时，应当考虑修改后的可行权条件。</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（3）股份支付取消的会计处理</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若在等待期内取消了授予的权益工具，本公司对取消所授予的权益性工具作为加速行权处理，将剩余等待期内应确认的金额立即计入当期损益，同时确认资本公积。职工或其他方能够选择满足非可行</w:t>
      </w:r>
      <w:proofErr w:type="gramStart"/>
      <w:r>
        <w:rPr>
          <w:rFonts w:hint="eastAsia"/>
          <w:sz w:val="18"/>
          <w:szCs w:val="18"/>
        </w:rPr>
        <w:t>权条件</w:t>
      </w:r>
      <w:proofErr w:type="gramEnd"/>
      <w:r>
        <w:rPr>
          <w:rFonts w:hint="eastAsia"/>
          <w:sz w:val="18"/>
          <w:szCs w:val="18"/>
        </w:rPr>
        <w:t>但在等待期内未满足的，本公司将其作为授予权益工具的取消处理。</w:t>
      </w:r>
    </w:p>
    <w:p w:rsidR="00037019" w:rsidRDefault="00BE788E">
      <w:pPr>
        <w:pStyle w:val="3"/>
        <w:spacing w:line="280" w:lineRule="exact"/>
        <w:jc w:val="left"/>
        <w:rPr>
          <w:rFonts w:ascii="宋体" w:hAnsi="宋体" w:cs="宋体"/>
          <w:b/>
          <w:bCs/>
        </w:rPr>
      </w:pPr>
      <w:bookmarkStart w:id="60" w:name="_Toc989050"/>
      <w:r>
        <w:rPr>
          <w:rFonts w:ascii="宋体" w:hAnsi="宋体" w:cs="宋体"/>
          <w:b/>
          <w:bCs/>
        </w:rPr>
        <w:t>36、优先股、永续债等其他金融工具</w:t>
      </w:r>
      <w:bookmarkEnd w:id="60"/>
    </w:p>
    <w:p w:rsidR="00BE788E" w:rsidRPr="004E7FBF" w:rsidRDefault="00BE788E" w:rsidP="004E7FBF">
      <w:pPr>
        <w:pStyle w:val="a3"/>
        <w:spacing w:before="0" w:beforeAutospacing="0" w:after="0" w:afterAutospacing="0"/>
        <w:ind w:firstLine="420"/>
        <w:jc w:val="both"/>
        <w:divId w:val="875697379"/>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61" w:name="_Toc989051"/>
      <w:r>
        <w:rPr>
          <w:rFonts w:ascii="宋体" w:hAnsi="宋体" w:cs="宋体"/>
          <w:b/>
          <w:bCs/>
        </w:rPr>
        <w:lastRenderedPageBreak/>
        <w:t>37、收入</w:t>
      </w:r>
      <w:bookmarkEnd w:id="61"/>
    </w:p>
    <w:p w:rsidR="00037019" w:rsidRDefault="00BE788E" w:rsidP="004E7FBF">
      <w:pPr>
        <w:pStyle w:val="a3"/>
        <w:spacing w:before="0" w:beforeAutospacing="0" w:after="0" w:afterAutospacing="0"/>
        <w:ind w:firstLine="420"/>
        <w:jc w:val="both"/>
        <w:rPr>
          <w:sz w:val="18"/>
          <w:szCs w:val="18"/>
        </w:rPr>
      </w:pPr>
      <w:r>
        <w:rPr>
          <w:sz w:val="18"/>
          <w:szCs w:val="18"/>
        </w:rPr>
        <w:t>按照业务类型披露收入确认和计量所采用的会计政策</w:t>
      </w:r>
    </w:p>
    <w:p w:rsidR="00BE788E" w:rsidRDefault="00BE788E" w:rsidP="00F34484">
      <w:pPr>
        <w:widowControl/>
        <w:numPr>
          <w:ilvl w:val="0"/>
          <w:numId w:val="82"/>
        </w:numPr>
        <w:spacing w:before="100" w:beforeAutospacing="1" w:after="100" w:afterAutospacing="1"/>
        <w:divId w:val="629236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收入确认的一般原则</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本公司在履行了合同中的履约义务，即在客户取得相关商品或服务控制权时，按照分摊至该项履约义务的交易价格确认收入。履约义务，是指合同中本公司向客户转让可明确区分商品或服务的承诺。取得相关商品控制权，是指能够主导该商品的使用并从中获得几乎全部的经济利益。</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本公司在合同开始日即对合同进行评估，识别该合同所包含的各单项履约义务，并确定各单项履约义务是在某一时段内履行，还是某一时点履行。满足下列条件之一的，属于在某一时间段内履行的履约义务，本公司按照履约进度，在一段时间内确认收入：</w:t>
      </w:r>
      <w:r w:rsidRPr="004E7FBF">
        <w:rPr>
          <w:sz w:val="18"/>
          <w:szCs w:val="18"/>
        </w:rPr>
        <w:t>(1)</w:t>
      </w:r>
      <w:r>
        <w:rPr>
          <w:rFonts w:hint="eastAsia"/>
          <w:sz w:val="18"/>
          <w:szCs w:val="18"/>
        </w:rPr>
        <w:t>客户在本公司履约的同时即取得并消耗本公司履约所带来的经济利益；</w:t>
      </w:r>
      <w:r w:rsidRPr="004E7FBF">
        <w:rPr>
          <w:sz w:val="18"/>
          <w:szCs w:val="18"/>
        </w:rPr>
        <w:t>(2)</w:t>
      </w:r>
      <w:r>
        <w:rPr>
          <w:rFonts w:hint="eastAsia"/>
          <w:sz w:val="18"/>
          <w:szCs w:val="18"/>
        </w:rPr>
        <w:t>客户能够控制本公司履约过程中在建的商品；</w:t>
      </w:r>
      <w:r w:rsidRPr="004E7FBF">
        <w:rPr>
          <w:sz w:val="18"/>
          <w:szCs w:val="18"/>
        </w:rPr>
        <w:t>(3)</w:t>
      </w:r>
      <w:r>
        <w:rPr>
          <w:rFonts w:hint="eastAsia"/>
          <w:sz w:val="18"/>
          <w:szCs w:val="18"/>
        </w:rPr>
        <w:t>本公司履约过程中所产出的商品具有不可替代用途，且本公司在整个合同期间内有权就累计至今已完成的履约部分收取款项。否则，本公司在客户取得相关商品或服务控制权的时点确认收入。</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对于在某一时段内履行的履约义务，本公司根据商品和劳务的性质，采用产出法确定恰当的履约进度。产出法是根据已转移给客户的商品对于客户的价值确定履约进度。当履约进度不能合理确定时，已经发生的成本预计能够得到补偿的，本公司按照已经发生的成本金额确认收入，直到履约进度能够合理确定为止。</w:t>
      </w:r>
    </w:p>
    <w:p w:rsidR="00BE788E" w:rsidRDefault="00BE788E" w:rsidP="00F34484">
      <w:pPr>
        <w:widowControl/>
        <w:numPr>
          <w:ilvl w:val="0"/>
          <w:numId w:val="83"/>
        </w:numPr>
        <w:spacing w:before="100" w:beforeAutospacing="1" w:after="100" w:afterAutospacing="1"/>
        <w:divId w:val="629236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收入确认的具体方法</w:t>
      </w:r>
    </w:p>
    <w:p w:rsidR="00BE788E" w:rsidRDefault="00BE788E">
      <w:pPr>
        <w:pStyle w:val="a3"/>
        <w:spacing w:before="0" w:beforeAutospacing="0" w:after="0" w:afterAutospacing="0" w:line="360" w:lineRule="auto"/>
        <w:ind w:left="422"/>
        <w:jc w:val="both"/>
        <w:divId w:val="6292361"/>
        <w:rPr>
          <w:b/>
          <w:bCs/>
          <w:sz w:val="21"/>
          <w:szCs w:val="21"/>
        </w:rPr>
      </w:pPr>
      <w:r>
        <w:rPr>
          <w:rFonts w:hint="eastAsia"/>
          <w:b/>
          <w:bCs/>
          <w:sz w:val="18"/>
          <w:szCs w:val="18"/>
        </w:rPr>
        <w:t>（</w:t>
      </w:r>
      <w:r>
        <w:rPr>
          <w:rFonts w:ascii="Times New Roman" w:hAnsi="Times New Roman" w:cs="Times New Roman"/>
          <w:b/>
          <w:bCs/>
          <w:sz w:val="18"/>
          <w:szCs w:val="18"/>
        </w:rPr>
        <w:t>1</w:t>
      </w:r>
      <w:r>
        <w:rPr>
          <w:rFonts w:hint="eastAsia"/>
          <w:b/>
          <w:bCs/>
          <w:sz w:val="18"/>
          <w:szCs w:val="18"/>
        </w:rPr>
        <w:t>）销售商品收入</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公司的产品销售属于在某一时</w:t>
      </w:r>
      <w:proofErr w:type="gramStart"/>
      <w:r>
        <w:rPr>
          <w:rFonts w:hint="eastAsia"/>
          <w:sz w:val="18"/>
          <w:szCs w:val="18"/>
        </w:rPr>
        <w:t>点履行</w:t>
      </w:r>
      <w:proofErr w:type="gramEnd"/>
      <w:r>
        <w:rPr>
          <w:rFonts w:hint="eastAsia"/>
          <w:sz w:val="18"/>
          <w:szCs w:val="18"/>
        </w:rPr>
        <w:t>的履约义务，内销收入在公司将产品运送至合同约定交货地点并由客户确认接受、已收取价款或取得收款权利且相关的经济利益很可能流入时确认。外销收入在公司已根据合同约定将产品报关，取得提单，已收取货款或取得了收款权利且相关的经济利益很可能流入时确认。线上销售收入在客户确认签收时确认对应的收入实现。</w:t>
      </w:r>
    </w:p>
    <w:p w:rsidR="00BE788E" w:rsidRDefault="00BE788E">
      <w:pPr>
        <w:pStyle w:val="a3"/>
        <w:spacing w:before="0" w:beforeAutospacing="0" w:after="0" w:afterAutospacing="0" w:line="360" w:lineRule="auto"/>
        <w:ind w:firstLine="422"/>
        <w:jc w:val="both"/>
        <w:divId w:val="6292361"/>
        <w:rPr>
          <w:sz w:val="21"/>
          <w:szCs w:val="21"/>
        </w:rPr>
      </w:pPr>
      <w:r>
        <w:rPr>
          <w:rStyle w:val="a5"/>
          <w:rFonts w:hint="eastAsia"/>
          <w:sz w:val="18"/>
          <w:szCs w:val="18"/>
        </w:rPr>
        <w:t>（</w:t>
      </w:r>
      <w:r>
        <w:rPr>
          <w:rStyle w:val="a5"/>
          <w:rFonts w:ascii="Times New Roman" w:hAnsi="Times New Roman" w:cs="Times New Roman"/>
          <w:sz w:val="18"/>
          <w:szCs w:val="18"/>
        </w:rPr>
        <w:t>2</w:t>
      </w:r>
      <w:r>
        <w:rPr>
          <w:rStyle w:val="a5"/>
          <w:rFonts w:hint="eastAsia"/>
          <w:sz w:val="18"/>
          <w:szCs w:val="18"/>
        </w:rPr>
        <w:t>）出租收入</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按与承租方</w:t>
      </w:r>
      <w:proofErr w:type="gramStart"/>
      <w:r>
        <w:rPr>
          <w:rFonts w:hint="eastAsia"/>
          <w:sz w:val="18"/>
          <w:szCs w:val="18"/>
        </w:rPr>
        <w:t>签定</w:t>
      </w:r>
      <w:proofErr w:type="gramEnd"/>
      <w:r>
        <w:rPr>
          <w:rFonts w:hint="eastAsia"/>
          <w:sz w:val="18"/>
          <w:szCs w:val="18"/>
        </w:rPr>
        <w:t>的合同或协议规定的承租方付租期间和金额，按直线法分摊确认设备出租收入的实现。</w:t>
      </w:r>
    </w:p>
    <w:p w:rsidR="00BE788E" w:rsidRDefault="00BE788E" w:rsidP="00F34484">
      <w:pPr>
        <w:widowControl/>
        <w:numPr>
          <w:ilvl w:val="0"/>
          <w:numId w:val="84"/>
        </w:numPr>
        <w:spacing w:before="100" w:beforeAutospacing="1" w:after="100" w:afterAutospacing="1"/>
        <w:divId w:val="629236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特定交易的收入处理原则</w:t>
      </w:r>
      <w:r>
        <w:rPr>
          <w:rFonts w:ascii="Times New Roman" w:hAnsi="Times New Roman" w:cs="Times New Roman"/>
          <w:sz w:val="18"/>
          <w:szCs w:val="18"/>
        </w:rPr>
        <w:t xml:space="preserve"> </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w:t>
      </w:r>
      <w:r w:rsidRPr="004E7FBF">
        <w:rPr>
          <w:sz w:val="18"/>
          <w:szCs w:val="18"/>
        </w:rPr>
        <w:t>1</w:t>
      </w:r>
      <w:r>
        <w:rPr>
          <w:rFonts w:hint="eastAsia"/>
          <w:sz w:val="18"/>
          <w:szCs w:val="18"/>
        </w:rPr>
        <w:t>）附有销售退回条款的合同</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对于附有销售退回条款的销售，本公司在客户取得相关商品控制权时，按照因向客户转让商品而预期有权收取的对</w:t>
      </w:r>
      <w:proofErr w:type="gramStart"/>
      <w:r>
        <w:rPr>
          <w:rFonts w:hint="eastAsia"/>
          <w:sz w:val="18"/>
          <w:szCs w:val="18"/>
        </w:rPr>
        <w:t>价金额</w:t>
      </w:r>
      <w:proofErr w:type="gramEnd"/>
      <w:r w:rsidRPr="004E7FBF">
        <w:rPr>
          <w:sz w:val="18"/>
          <w:szCs w:val="18"/>
        </w:rPr>
        <w:t>(</w:t>
      </w:r>
      <w:r>
        <w:rPr>
          <w:rFonts w:hint="eastAsia"/>
          <w:sz w:val="18"/>
          <w:szCs w:val="18"/>
        </w:rPr>
        <w:t>即，不包含预期因销售退回将退还的金额</w:t>
      </w:r>
      <w:r w:rsidRPr="004E7FBF">
        <w:rPr>
          <w:sz w:val="18"/>
          <w:szCs w:val="18"/>
        </w:rPr>
        <w:t>)</w:t>
      </w:r>
      <w:r>
        <w:rPr>
          <w:rFonts w:hint="eastAsia"/>
          <w:sz w:val="18"/>
          <w:szCs w:val="18"/>
        </w:rPr>
        <w:t>确认收入，按照预期因销售退回将退还的金额确认负债；同时，按照预期将退回商品转让时的账面价值，扣除收回该商品预计发生的成本</w:t>
      </w:r>
      <w:r w:rsidRPr="004E7FBF">
        <w:rPr>
          <w:sz w:val="18"/>
          <w:szCs w:val="18"/>
        </w:rPr>
        <w:t>(</w:t>
      </w:r>
      <w:r>
        <w:rPr>
          <w:rFonts w:hint="eastAsia"/>
          <w:sz w:val="18"/>
          <w:szCs w:val="18"/>
        </w:rPr>
        <w:t>包括退回商品的价值减损</w:t>
      </w:r>
      <w:r w:rsidRPr="004E7FBF">
        <w:rPr>
          <w:sz w:val="18"/>
          <w:szCs w:val="18"/>
        </w:rPr>
        <w:t>)</w:t>
      </w:r>
      <w:r>
        <w:rPr>
          <w:rFonts w:hint="eastAsia"/>
          <w:sz w:val="18"/>
          <w:szCs w:val="18"/>
        </w:rPr>
        <w:t>后的余额，确认为一项资产，按照所转让商品转让时的账面价值，扣除上述资产成本的净额结转成本。</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w:t>
      </w:r>
      <w:r w:rsidRPr="004E7FBF">
        <w:rPr>
          <w:sz w:val="18"/>
          <w:szCs w:val="18"/>
        </w:rPr>
        <w:t>2</w:t>
      </w:r>
      <w:r>
        <w:rPr>
          <w:rFonts w:hint="eastAsia"/>
          <w:sz w:val="18"/>
          <w:szCs w:val="18"/>
        </w:rPr>
        <w:t>）附有质量保证条款的合同</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对于附有质量保证条款的销售，如果该质量保证在向客户保证所销售商品或服务符合既定标准之外提供了一项单独的服务，该质量保证构成单项履约义务。否则，本公司按照《企业会计准则第</w:t>
      </w:r>
      <w:r w:rsidRPr="004E7FBF">
        <w:rPr>
          <w:sz w:val="18"/>
          <w:szCs w:val="18"/>
        </w:rPr>
        <w:t xml:space="preserve">13 </w:t>
      </w:r>
      <w:r>
        <w:rPr>
          <w:rFonts w:hint="eastAsia"/>
          <w:sz w:val="18"/>
          <w:szCs w:val="18"/>
        </w:rPr>
        <w:t>号</w:t>
      </w:r>
      <w:r w:rsidRPr="004E7FBF">
        <w:rPr>
          <w:sz w:val="18"/>
          <w:szCs w:val="18"/>
        </w:rPr>
        <w:t>——</w:t>
      </w:r>
      <w:r>
        <w:rPr>
          <w:rFonts w:hint="eastAsia"/>
          <w:sz w:val="18"/>
          <w:szCs w:val="18"/>
        </w:rPr>
        <w:t>或有事项》规定对质量保证责任进行会计处理</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w:t>
      </w:r>
      <w:r w:rsidRPr="004E7FBF">
        <w:rPr>
          <w:sz w:val="18"/>
          <w:szCs w:val="18"/>
        </w:rPr>
        <w:t>3</w:t>
      </w:r>
      <w:r>
        <w:rPr>
          <w:rFonts w:hint="eastAsia"/>
          <w:sz w:val="18"/>
          <w:szCs w:val="18"/>
        </w:rPr>
        <w:t>）附有客户额外购买选择权的销售合同</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客户额外购买选择权包括销售激励措施、客户奖励积分、续约选择权、针对未来商品或服务的其他折扣等，对于向客户提供了重大权利的额外购买选择权，本公司将其作为单项履约义务，在客户未来行使购买选择</w:t>
      </w:r>
      <w:proofErr w:type="gramStart"/>
      <w:r>
        <w:rPr>
          <w:rFonts w:hint="eastAsia"/>
          <w:sz w:val="18"/>
          <w:szCs w:val="18"/>
        </w:rPr>
        <w:t>权取得</w:t>
      </w:r>
      <w:proofErr w:type="gramEnd"/>
      <w:r>
        <w:rPr>
          <w:rFonts w:hint="eastAsia"/>
          <w:sz w:val="18"/>
          <w:szCs w:val="18"/>
        </w:rPr>
        <w:t>相关商品或服务控制权时，或者该选择权失效时，确认相应的收入。客户额外购买选择权的单独售价无法直接观察的，本公司综合考虑客户行使和不行使该选择权所能获得的折扣的差异、客户行使该选择权的可能性等全部相关信息予以估计。</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lastRenderedPageBreak/>
        <w:t>（</w:t>
      </w:r>
      <w:r w:rsidRPr="004E7FBF">
        <w:rPr>
          <w:sz w:val="18"/>
          <w:szCs w:val="18"/>
        </w:rPr>
        <w:t>4</w:t>
      </w:r>
      <w:r>
        <w:rPr>
          <w:rFonts w:hint="eastAsia"/>
          <w:sz w:val="18"/>
          <w:szCs w:val="18"/>
        </w:rPr>
        <w:t>）向客户授予知识产权许可的合同</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评估该知识产权许可是否构成单项履约义务，构成单项履约义务的，则进一步确定其是在某一时段内履行还是在某一时点履行。向客户授予知识产权许可，并约定按客户实际销售或使用情况收取特许权使用费的，则在下列</w:t>
      </w:r>
      <w:proofErr w:type="gramStart"/>
      <w:r>
        <w:rPr>
          <w:rFonts w:hint="eastAsia"/>
          <w:sz w:val="18"/>
          <w:szCs w:val="18"/>
        </w:rPr>
        <w:t>两项孰晚的</w:t>
      </w:r>
      <w:proofErr w:type="gramEnd"/>
      <w:r>
        <w:rPr>
          <w:rFonts w:hint="eastAsia"/>
          <w:sz w:val="18"/>
          <w:szCs w:val="18"/>
        </w:rPr>
        <w:t>时点确认收入：客户后续销售或使用行为实际发生；公司履行相关履约义务。</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w:t>
      </w:r>
      <w:r w:rsidRPr="004E7FBF">
        <w:rPr>
          <w:sz w:val="18"/>
          <w:szCs w:val="18"/>
        </w:rPr>
        <w:t>5</w:t>
      </w:r>
      <w:r>
        <w:rPr>
          <w:rFonts w:hint="eastAsia"/>
          <w:sz w:val="18"/>
          <w:szCs w:val="18"/>
        </w:rPr>
        <w:t>）售后回购</w:t>
      </w:r>
    </w:p>
    <w:p w:rsidR="00BE788E" w:rsidRDefault="00BE788E" w:rsidP="00F34484">
      <w:pPr>
        <w:widowControl/>
        <w:numPr>
          <w:ilvl w:val="0"/>
          <w:numId w:val="85"/>
        </w:numPr>
        <w:spacing w:before="100" w:beforeAutospacing="1" w:after="100" w:afterAutospacing="1"/>
        <w:divId w:val="629236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因与客户的远期安排而负有回购义务的合同：这种情况下客户在销售时点并未取得相关商品控制权，因此作为租赁交易或融资交易进行相应的会计处理。其中，回购价格低于原售价的视为租赁交易，按照企业会计准则对租赁的相关规定进行会计处理；回购价格不低于原售价的视为融资交易，在收到客户款项时确认金融负债，并将该款项和回购价格的差额在回购期间内确认为利息费用等。公司到期未行使回购权利的，则在该回购权利到期时终止确认金融负债，同时确认收入。</w:t>
      </w:r>
    </w:p>
    <w:p w:rsidR="00BE788E" w:rsidRDefault="00BE788E" w:rsidP="00F34484">
      <w:pPr>
        <w:widowControl/>
        <w:numPr>
          <w:ilvl w:val="0"/>
          <w:numId w:val="85"/>
        </w:numPr>
        <w:spacing w:before="100" w:beforeAutospacing="1" w:after="100" w:afterAutospacing="1"/>
        <w:divId w:val="629236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应客户要求产生的回购义务的合同：经评估客户具有重大经济动因的，将售后回购作为租赁交易或融资交易，按照本条</w:t>
      </w:r>
      <w:r>
        <w:rPr>
          <w:rFonts w:ascii="Times New Roman" w:hAnsi="Times New Roman" w:cs="Times New Roman"/>
          <w:sz w:val="18"/>
          <w:szCs w:val="18"/>
        </w:rPr>
        <w:t>1</w:t>
      </w:r>
      <w:r>
        <w:rPr>
          <w:rFonts w:hint="eastAsia"/>
          <w:sz w:val="18"/>
          <w:szCs w:val="18"/>
        </w:rPr>
        <w:t>）规定进行会计处理；否则将其作为附有销售退回条款的销售交易进行处理。</w:t>
      </w:r>
    </w:p>
    <w:p w:rsidR="00BE788E" w:rsidRDefault="00BE788E">
      <w:pPr>
        <w:pStyle w:val="a3"/>
        <w:spacing w:before="0" w:beforeAutospacing="0" w:after="0" w:afterAutospacing="0" w:line="360" w:lineRule="auto"/>
        <w:ind w:firstLine="420"/>
        <w:jc w:val="both"/>
        <w:divId w:val="6292361"/>
        <w:rPr>
          <w:sz w:val="21"/>
          <w:szCs w:val="21"/>
        </w:rPr>
      </w:pPr>
      <w:r>
        <w:rPr>
          <w:rFonts w:hint="eastAsia"/>
          <w:sz w:val="18"/>
          <w:szCs w:val="18"/>
        </w:rPr>
        <w:t>（</w:t>
      </w:r>
      <w:r>
        <w:rPr>
          <w:rFonts w:ascii="Times New Roman" w:hAnsi="Times New Roman" w:cs="Times New Roman"/>
          <w:sz w:val="18"/>
          <w:szCs w:val="18"/>
        </w:rPr>
        <w:t>6</w:t>
      </w:r>
      <w:r>
        <w:rPr>
          <w:rFonts w:hint="eastAsia"/>
          <w:sz w:val="18"/>
          <w:szCs w:val="18"/>
        </w:rPr>
        <w:t>）向客户收取无需退回的初始费的合同</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在合同开始（或接近合同开始）日向客户收取的无需退回的初始费应当计入交易价格。公司经评估，该初始费与向客户转让已承诺的商品相关，并且该商品构成单项履约义务的，则在转让该商品时，按照分摊至该商品的交易价格确认收入；该初始费与向客户转让已承诺的商品相关，但该商品不构成单项履约义务的，则在包含该商品的单项履约义务履行时，按照分摊至该单项履约义务的交易价格确认收入；该初始费与向客户转让已承诺的商品不相关的，该初始费则作为未来将转让商品的预收款，在未来转让该商品时确认为收入。</w:t>
      </w:r>
    </w:p>
    <w:p w:rsidR="00037019" w:rsidRDefault="00BE788E" w:rsidP="004E7FBF">
      <w:pPr>
        <w:pStyle w:val="a3"/>
        <w:spacing w:before="0" w:beforeAutospacing="0" w:after="0" w:afterAutospacing="0"/>
        <w:ind w:firstLine="420"/>
        <w:jc w:val="both"/>
        <w:rPr>
          <w:sz w:val="18"/>
          <w:szCs w:val="18"/>
        </w:rPr>
      </w:pPr>
      <w:r>
        <w:rPr>
          <w:sz w:val="18"/>
          <w:szCs w:val="18"/>
        </w:rPr>
        <w:t>同类业务采用不同经营模式涉及不同收入确认方式及计量方法的情况</w:t>
      </w:r>
    </w:p>
    <w:p w:rsidR="00BE788E" w:rsidRDefault="00BE788E" w:rsidP="004E7FBF">
      <w:pPr>
        <w:pStyle w:val="a3"/>
        <w:spacing w:before="0" w:beforeAutospacing="0" w:after="0" w:afterAutospacing="0"/>
        <w:ind w:firstLine="420"/>
        <w:jc w:val="both"/>
        <w:divId w:val="651757630"/>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62" w:name="_Toc989052"/>
      <w:r>
        <w:rPr>
          <w:rFonts w:ascii="宋体" w:hAnsi="宋体" w:cs="宋体"/>
          <w:b/>
          <w:bCs/>
        </w:rPr>
        <w:t>38、合同成本</w:t>
      </w:r>
      <w:bookmarkEnd w:id="62"/>
    </w:p>
    <w:p w:rsidR="00BE788E" w:rsidRDefault="00BE788E" w:rsidP="00F34484">
      <w:pPr>
        <w:widowControl/>
        <w:numPr>
          <w:ilvl w:val="3"/>
          <w:numId w:val="86"/>
        </w:numPr>
        <w:tabs>
          <w:tab w:val="clear" w:pos="2880"/>
          <w:tab w:val="num" w:pos="426"/>
        </w:tabs>
        <w:spacing w:before="100" w:beforeAutospacing="1" w:after="100" w:afterAutospacing="1"/>
        <w:ind w:left="0" w:firstLine="426"/>
        <w:divId w:val="1531917671"/>
        <w:rPr>
          <w:sz w:val="18"/>
          <w:szCs w:val="18"/>
        </w:rPr>
      </w:pPr>
      <w:r>
        <w:rPr>
          <w:rFonts w:hint="eastAsia"/>
          <w:sz w:val="18"/>
          <w:szCs w:val="18"/>
        </w:rPr>
        <w:t>合同履约成本</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本公司对于为履行合同发生的成本，不属于除收入准则外的其他企业会计准则范围且同时满足下列条件的作为合同履约成本确认为一项资产：</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（1）</w:t>
      </w:r>
      <w:proofErr w:type="gramStart"/>
      <w:r>
        <w:rPr>
          <w:rFonts w:hint="eastAsia"/>
          <w:sz w:val="18"/>
          <w:szCs w:val="18"/>
        </w:rPr>
        <w:t>该成本</w:t>
      </w:r>
      <w:proofErr w:type="gramEnd"/>
      <w:r>
        <w:rPr>
          <w:rFonts w:hint="eastAsia"/>
          <w:sz w:val="18"/>
          <w:szCs w:val="18"/>
        </w:rPr>
        <w:t>与一份当前或预期取得的合同直接相关，包括直接人工、直接材料、制造费用（或类似费用）、明确由客户承担的成本以及仅因该合同而发生的其他成本；</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w:t>
      </w:r>
      <w:r w:rsidRPr="004E7FBF">
        <w:rPr>
          <w:sz w:val="18"/>
          <w:szCs w:val="18"/>
        </w:rPr>
        <w:t>2</w:t>
      </w:r>
      <w:r>
        <w:rPr>
          <w:rFonts w:hint="eastAsia"/>
          <w:sz w:val="18"/>
          <w:szCs w:val="18"/>
        </w:rPr>
        <w:t>）</w:t>
      </w:r>
      <w:proofErr w:type="gramStart"/>
      <w:r>
        <w:rPr>
          <w:rFonts w:hint="eastAsia"/>
          <w:sz w:val="18"/>
          <w:szCs w:val="18"/>
        </w:rPr>
        <w:t>该成本</w:t>
      </w:r>
      <w:proofErr w:type="gramEnd"/>
      <w:r>
        <w:rPr>
          <w:rFonts w:hint="eastAsia"/>
          <w:sz w:val="18"/>
          <w:szCs w:val="18"/>
        </w:rPr>
        <w:t>增加了企业未来用于履行履约义务的资源；</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w:t>
      </w:r>
      <w:r w:rsidRPr="004E7FBF">
        <w:rPr>
          <w:sz w:val="18"/>
          <w:szCs w:val="18"/>
        </w:rPr>
        <w:t>3</w:t>
      </w:r>
      <w:r>
        <w:rPr>
          <w:rFonts w:hint="eastAsia"/>
          <w:sz w:val="18"/>
          <w:szCs w:val="18"/>
        </w:rPr>
        <w:t>）</w:t>
      </w:r>
      <w:proofErr w:type="gramStart"/>
      <w:r>
        <w:rPr>
          <w:rFonts w:hint="eastAsia"/>
          <w:sz w:val="18"/>
          <w:szCs w:val="18"/>
        </w:rPr>
        <w:t>该成本</w:t>
      </w:r>
      <w:proofErr w:type="gramEnd"/>
      <w:r>
        <w:rPr>
          <w:rFonts w:hint="eastAsia"/>
          <w:sz w:val="18"/>
          <w:szCs w:val="18"/>
        </w:rPr>
        <w:t>预期能够收回。</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该资产根据其初始确认时摊销期限是否超过一个正常营业周期在存货或其他非流动资产中列报。</w:t>
      </w:r>
    </w:p>
    <w:p w:rsidR="00BE788E" w:rsidRDefault="00BE788E" w:rsidP="00F34484">
      <w:pPr>
        <w:widowControl/>
        <w:numPr>
          <w:ilvl w:val="3"/>
          <w:numId w:val="87"/>
        </w:numPr>
        <w:tabs>
          <w:tab w:val="clear" w:pos="2880"/>
          <w:tab w:val="num" w:pos="426"/>
        </w:tabs>
        <w:spacing w:before="100" w:beforeAutospacing="1" w:after="100" w:afterAutospacing="1"/>
        <w:ind w:left="0" w:firstLine="426"/>
        <w:divId w:val="1531917671"/>
        <w:rPr>
          <w:sz w:val="18"/>
          <w:szCs w:val="18"/>
        </w:rPr>
      </w:pPr>
      <w:r>
        <w:rPr>
          <w:rFonts w:hint="eastAsia"/>
          <w:sz w:val="18"/>
          <w:szCs w:val="18"/>
        </w:rPr>
        <w:t>合同取得成本</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本公司为取得合同发生的增量成本预期能够收回的，作为合同取得成本确认为一项资产。增量成本是指本公司不取得合同就不会发生的成本，如销售佣金等。对于摊销期限不超过一年的，在发生时计入当期损益。</w:t>
      </w:r>
    </w:p>
    <w:p w:rsidR="00BE788E" w:rsidRDefault="00BE788E" w:rsidP="00F34484">
      <w:pPr>
        <w:widowControl/>
        <w:numPr>
          <w:ilvl w:val="3"/>
          <w:numId w:val="88"/>
        </w:numPr>
        <w:tabs>
          <w:tab w:val="clear" w:pos="2880"/>
          <w:tab w:val="num" w:pos="426"/>
        </w:tabs>
        <w:spacing w:before="100" w:beforeAutospacing="1" w:after="100" w:afterAutospacing="1"/>
        <w:ind w:left="0" w:firstLine="426"/>
        <w:divId w:val="1531917671"/>
        <w:rPr>
          <w:sz w:val="18"/>
          <w:szCs w:val="18"/>
        </w:rPr>
      </w:pPr>
      <w:r>
        <w:rPr>
          <w:rFonts w:hint="eastAsia"/>
          <w:sz w:val="18"/>
          <w:szCs w:val="18"/>
        </w:rPr>
        <w:t>合同成本摊销</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上述与合同成本有关的资产，采用与该资产相关的商品或服务收入确认相同的基础，在履约义务履行的时点或按照履约义务的履约进度进行摊销，计入当期损益。</w:t>
      </w:r>
    </w:p>
    <w:p w:rsidR="00BE788E" w:rsidRDefault="00BE788E" w:rsidP="00F34484">
      <w:pPr>
        <w:widowControl/>
        <w:numPr>
          <w:ilvl w:val="3"/>
          <w:numId w:val="89"/>
        </w:numPr>
        <w:tabs>
          <w:tab w:val="clear" w:pos="2880"/>
          <w:tab w:val="num" w:pos="426"/>
        </w:tabs>
        <w:spacing w:before="100" w:beforeAutospacing="1" w:after="100" w:afterAutospacing="1"/>
        <w:ind w:left="0" w:firstLine="426"/>
        <w:divId w:val="1531917671"/>
        <w:rPr>
          <w:sz w:val="18"/>
          <w:szCs w:val="18"/>
        </w:rPr>
      </w:pPr>
      <w:r>
        <w:rPr>
          <w:rFonts w:hint="eastAsia"/>
          <w:sz w:val="18"/>
          <w:szCs w:val="18"/>
        </w:rPr>
        <w:lastRenderedPageBreak/>
        <w:t>合同成本减值</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上述与合同成本有关的资产，账面价值高于本公司因转让与该资产相关的商品预期能够取得剩余对价与为转让</w:t>
      </w:r>
      <w:proofErr w:type="gramStart"/>
      <w:r>
        <w:rPr>
          <w:rFonts w:hint="eastAsia"/>
          <w:sz w:val="18"/>
          <w:szCs w:val="18"/>
        </w:rPr>
        <w:t>该相关</w:t>
      </w:r>
      <w:proofErr w:type="gramEnd"/>
      <w:r>
        <w:rPr>
          <w:rFonts w:hint="eastAsia"/>
          <w:sz w:val="18"/>
          <w:szCs w:val="18"/>
        </w:rPr>
        <w:t>商品估计将要发生的成本的差额的，超出部分应当计提减值准备，并确认为资产减值损失。</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计提减值准备后，如果以前期间减值的因素发生变化，使得上述两项差额高于该资产账面价值的，转回原已计提的资产减值准备，并计入当期损益，但转回后的资产账面价值不超过假定不计提减值准备情况下该资产在</w:t>
      </w:r>
      <w:proofErr w:type="gramStart"/>
      <w:r>
        <w:rPr>
          <w:rFonts w:hint="eastAsia"/>
          <w:sz w:val="18"/>
          <w:szCs w:val="18"/>
        </w:rPr>
        <w:t>转回日</w:t>
      </w:r>
      <w:proofErr w:type="gramEnd"/>
      <w:r>
        <w:rPr>
          <w:rFonts w:hint="eastAsia"/>
          <w:sz w:val="18"/>
          <w:szCs w:val="18"/>
        </w:rPr>
        <w:t>的账面价值。</w:t>
      </w:r>
    </w:p>
    <w:p w:rsidR="00037019" w:rsidRDefault="00BE788E">
      <w:pPr>
        <w:pStyle w:val="3"/>
        <w:spacing w:line="280" w:lineRule="exact"/>
        <w:jc w:val="left"/>
        <w:rPr>
          <w:rFonts w:ascii="宋体" w:hAnsi="宋体" w:cs="宋体"/>
          <w:b/>
          <w:bCs/>
        </w:rPr>
      </w:pPr>
      <w:bookmarkStart w:id="63" w:name="_Toc989053"/>
      <w:r>
        <w:rPr>
          <w:rFonts w:ascii="宋体" w:hAnsi="宋体" w:cs="宋体"/>
          <w:b/>
          <w:bCs/>
        </w:rPr>
        <w:t>39、政府补助</w:t>
      </w:r>
      <w:bookmarkEnd w:id="63"/>
    </w:p>
    <w:p w:rsidR="00BE788E" w:rsidRDefault="00BE788E" w:rsidP="00F34484">
      <w:pPr>
        <w:widowControl/>
        <w:numPr>
          <w:ilvl w:val="0"/>
          <w:numId w:val="90"/>
        </w:numPr>
        <w:spacing w:before="100" w:beforeAutospacing="1" w:after="100" w:afterAutospacing="1"/>
        <w:divId w:val="499124195"/>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类型</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政府补助，是本公司从政府无偿取得的货币性资产与非货币性资产。根据相关政府文件规定的补助对象，将政府补助划分为与资产相关的政府补助和与收益相关的政府补助。</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对于政府文件未明确补助对象的政府补助，公司根据实际补助对象划分为与资产相关的政府补助或与收益相关的政府补助，相关判断依据说明详见附注五、注释</w:t>
      </w:r>
      <w:r w:rsidRPr="004E7FBF">
        <w:rPr>
          <w:sz w:val="18"/>
          <w:szCs w:val="18"/>
        </w:rPr>
        <w:t>37.</w:t>
      </w:r>
      <w:r>
        <w:rPr>
          <w:rFonts w:hint="eastAsia"/>
          <w:sz w:val="18"/>
          <w:szCs w:val="18"/>
        </w:rPr>
        <w:t>递延收益、注释</w:t>
      </w:r>
      <w:r w:rsidRPr="004E7FBF">
        <w:rPr>
          <w:sz w:val="18"/>
          <w:szCs w:val="18"/>
        </w:rPr>
        <w:t>50.</w:t>
      </w:r>
      <w:r>
        <w:rPr>
          <w:rFonts w:hint="eastAsia"/>
          <w:sz w:val="18"/>
          <w:szCs w:val="18"/>
        </w:rPr>
        <w:t>其他收益。</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与资产相关的政府补助，是指本公司取得的、用于购建或以其他方式形成长期资产的政府补助。与收益相关的政府补助，是指除与资产相关的政府补助之外的政府补助。</w:t>
      </w:r>
    </w:p>
    <w:p w:rsidR="00BE788E" w:rsidRDefault="00BE788E" w:rsidP="00F34484">
      <w:pPr>
        <w:widowControl/>
        <w:numPr>
          <w:ilvl w:val="0"/>
          <w:numId w:val="91"/>
        </w:numPr>
        <w:spacing w:before="100" w:beforeAutospacing="1" w:after="100" w:afterAutospacing="1"/>
        <w:divId w:val="499124195"/>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政府补助的确认</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对期末有证据表明公司能够符合财政扶持政策规定的相关条件且预计能够收到财政扶持资金的，按应收金额确认政府补助。除此之外，政府补助均在实际收到时确认。</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政府补助为货币性资产的，按照收到或应收的金额计量。政府补助为非货币性资产的，按照公允价值计量；公允价值不能够可靠取得的，按照名义金额（人民币</w:t>
      </w:r>
      <w:r w:rsidRPr="004E7FBF">
        <w:rPr>
          <w:sz w:val="18"/>
          <w:szCs w:val="18"/>
        </w:rPr>
        <w:t>1</w:t>
      </w:r>
      <w:r>
        <w:rPr>
          <w:rFonts w:hint="eastAsia"/>
          <w:sz w:val="18"/>
          <w:szCs w:val="18"/>
        </w:rPr>
        <w:t>元）计量。按照名义金额计量的政府补助，直接计入当期损益。</w:t>
      </w:r>
    </w:p>
    <w:p w:rsidR="00BE788E" w:rsidRDefault="00BE788E" w:rsidP="00F34484">
      <w:pPr>
        <w:widowControl/>
        <w:numPr>
          <w:ilvl w:val="0"/>
          <w:numId w:val="92"/>
        </w:numPr>
        <w:spacing w:before="100" w:beforeAutospacing="1" w:after="100" w:afterAutospacing="1"/>
        <w:divId w:val="499124195"/>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会计处理方法</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本公司根据经济业务的实质，确定某一类政府补助业务应当采用总额法还是净额法进行会计处理。通常情况下，本公司对于同类或类似政府补助业务只选用一种方法，且对该业务一贯地运用该方法。</w:t>
      </w:r>
    </w:p>
    <w:p w:rsidR="00BE788E" w:rsidRPr="004E7FBF" w:rsidRDefault="00BE788E" w:rsidP="004E7FBF">
      <w:pPr>
        <w:pStyle w:val="a3"/>
        <w:spacing w:before="0" w:beforeAutospacing="0" w:after="0" w:afterAutospacing="0"/>
        <w:ind w:firstLine="420"/>
        <w:jc w:val="both"/>
        <w:divId w:val="499124195"/>
        <w:rPr>
          <w:sz w:val="18"/>
          <w:szCs w:val="18"/>
        </w:rPr>
      </w:pPr>
      <w:r w:rsidRPr="004E7FBF">
        <w:rPr>
          <w:sz w:val="18"/>
          <w:szCs w:val="18"/>
        </w:rPr>
        <w:t xml:space="preserve">    </w:t>
      </w:r>
      <w:r>
        <w:rPr>
          <w:rFonts w:hint="eastAsia"/>
          <w:sz w:val="18"/>
          <w:szCs w:val="18"/>
        </w:rPr>
        <w:t>与资产相关的政府补助，应当冲减相关资产的账面价值或</w:t>
      </w:r>
      <w:proofErr w:type="gramStart"/>
      <w:r>
        <w:rPr>
          <w:rFonts w:hint="eastAsia"/>
          <w:sz w:val="18"/>
          <w:szCs w:val="18"/>
        </w:rPr>
        <w:t>确认为递延</w:t>
      </w:r>
      <w:proofErr w:type="gramEnd"/>
      <w:r>
        <w:rPr>
          <w:rFonts w:hint="eastAsia"/>
          <w:sz w:val="18"/>
          <w:szCs w:val="18"/>
        </w:rPr>
        <w:t>收益。与资产相关的政府补助</w:t>
      </w:r>
      <w:proofErr w:type="gramStart"/>
      <w:r>
        <w:rPr>
          <w:rFonts w:hint="eastAsia"/>
          <w:sz w:val="18"/>
          <w:szCs w:val="18"/>
        </w:rPr>
        <w:t>确认为递延</w:t>
      </w:r>
      <w:proofErr w:type="gramEnd"/>
      <w:r>
        <w:rPr>
          <w:rFonts w:hint="eastAsia"/>
          <w:sz w:val="18"/>
          <w:szCs w:val="18"/>
        </w:rPr>
        <w:t>收益的，在所建造或购买资产使用寿命内按照合理、系统的方法分期计入损益。</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与收益相关的政府补助，用于补偿企业以后期间的相关费用或损失的，</w:t>
      </w:r>
      <w:proofErr w:type="gramStart"/>
      <w:r>
        <w:rPr>
          <w:rFonts w:hint="eastAsia"/>
          <w:sz w:val="18"/>
          <w:szCs w:val="18"/>
        </w:rPr>
        <w:t>确认为递延</w:t>
      </w:r>
      <w:proofErr w:type="gramEnd"/>
      <w:r>
        <w:rPr>
          <w:rFonts w:hint="eastAsia"/>
          <w:sz w:val="18"/>
          <w:szCs w:val="18"/>
        </w:rPr>
        <w:t>收益，在确认相关费用或损失的期间计入当期损益或冲减相关成本；用于补偿企业已发生的相关费用或损失的，取得时直接计入当期损益或冲减相关成本。</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与企业日常活动相关的政府补助计入其他收益或冲减相关成本费用；与企业日常活动无关的政府补助计入营业外收支。</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收到与政策性优惠贷款贴息相关的政府补助冲减相关借款费用；取得贷款银行提供的政策性优惠利率贷款的，以实际收到的借款金额作为借款的入账价值，按照借款本金和该政策性优惠利率计算相关借款费用。</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已确认的政府补助需要返还时，初始确认时冲减相关资产账面价值的，调整资产账面价值；存在相关递延收益余额的，冲减相关递延收益账面余额，超出部分计入当期损益；不存在相关递延收益的，直接计入当期损益。</w:t>
      </w:r>
    </w:p>
    <w:p w:rsidR="00037019" w:rsidRDefault="00BE788E">
      <w:pPr>
        <w:pStyle w:val="3"/>
        <w:spacing w:line="280" w:lineRule="exact"/>
        <w:jc w:val="left"/>
        <w:rPr>
          <w:rFonts w:ascii="宋体" w:hAnsi="宋体" w:cs="宋体"/>
          <w:b/>
          <w:bCs/>
        </w:rPr>
      </w:pPr>
      <w:bookmarkStart w:id="64" w:name="_Toc989054"/>
      <w:r>
        <w:rPr>
          <w:rFonts w:ascii="宋体" w:hAnsi="宋体" w:cs="宋体"/>
          <w:b/>
          <w:bCs/>
        </w:rPr>
        <w:lastRenderedPageBreak/>
        <w:t>40、递延所得税资产/递延所得税负债</w:t>
      </w:r>
      <w:bookmarkEnd w:id="64"/>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递延所得税资产和递延所得税负债根据资产和负债的计税基础与其账面价值的差额</w:t>
      </w:r>
      <w:r w:rsidRPr="004E7FBF">
        <w:rPr>
          <w:sz w:val="18"/>
          <w:szCs w:val="18"/>
        </w:rPr>
        <w:t>(</w:t>
      </w:r>
      <w:r>
        <w:rPr>
          <w:rFonts w:hint="eastAsia"/>
          <w:sz w:val="18"/>
          <w:szCs w:val="18"/>
        </w:rPr>
        <w:t>暂时性差异</w:t>
      </w:r>
      <w:r w:rsidRPr="004E7FBF">
        <w:rPr>
          <w:sz w:val="18"/>
          <w:szCs w:val="18"/>
        </w:rPr>
        <w:t>)</w:t>
      </w:r>
      <w:r>
        <w:rPr>
          <w:rFonts w:hint="eastAsia"/>
          <w:sz w:val="18"/>
          <w:szCs w:val="18"/>
        </w:rPr>
        <w:t>计算确认。于资产负债表日，递延所得税资产和递延所得税负债，按照预期收回该资产或清偿该负债期间的适用税率计量。</w:t>
      </w:r>
    </w:p>
    <w:p w:rsidR="00BE788E" w:rsidRDefault="00BE788E" w:rsidP="00F34484">
      <w:pPr>
        <w:widowControl/>
        <w:numPr>
          <w:ilvl w:val="0"/>
          <w:numId w:val="93"/>
        </w:numPr>
        <w:spacing w:before="100" w:beforeAutospacing="1" w:after="100" w:afterAutospacing="1"/>
        <w:divId w:val="1534921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确认递延所得税资产的依据</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本公司以很可能取得用来抵扣可抵扣暂时性差异、能够结转以后年度的可抵扣亏损和税款抵减的应纳税所得额为限，确认由可抵扣暂时性差异产生的递延所得税资产。但是，同时具有下列特征的交易中因资产或负债的初始确认所产生的递延所得税资产不予确认：（</w:t>
      </w:r>
      <w:r w:rsidRPr="004E7FBF">
        <w:rPr>
          <w:sz w:val="18"/>
          <w:szCs w:val="18"/>
        </w:rPr>
        <w:t>1</w:t>
      </w:r>
      <w:r>
        <w:rPr>
          <w:rFonts w:hint="eastAsia"/>
          <w:sz w:val="18"/>
          <w:szCs w:val="18"/>
        </w:rPr>
        <w:t>）该交易不是企业合并；（</w:t>
      </w:r>
      <w:r w:rsidRPr="004E7FBF">
        <w:rPr>
          <w:sz w:val="18"/>
          <w:szCs w:val="18"/>
        </w:rPr>
        <w:t>2</w:t>
      </w:r>
      <w:r>
        <w:rPr>
          <w:rFonts w:hint="eastAsia"/>
          <w:sz w:val="18"/>
          <w:szCs w:val="18"/>
        </w:rPr>
        <w:t>）交易发生时既不影响会计利润也不影响应纳税所得额或可抵扣亏损。</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对于与联营企业投资相关的可抵扣暂时性差异，同时满足下列条件的，确认相应的递延所得税资产：暂时性差异在可预见的未来很可能转回，且未来很可能获得用来抵扣可抵扣暂时性差异的应纳税所得额。</w:t>
      </w:r>
    </w:p>
    <w:p w:rsidR="00BE788E" w:rsidRDefault="00BE788E" w:rsidP="00F34484">
      <w:pPr>
        <w:widowControl/>
        <w:numPr>
          <w:ilvl w:val="0"/>
          <w:numId w:val="94"/>
        </w:numPr>
        <w:spacing w:before="100" w:beforeAutospacing="1" w:after="100" w:afterAutospacing="1"/>
        <w:divId w:val="1534921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确认递延所得税负债的依据</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公司将当期与以前期间应交未交的应纳税暂时性差异</w:t>
      </w:r>
      <w:proofErr w:type="gramStart"/>
      <w:r>
        <w:rPr>
          <w:rFonts w:hint="eastAsia"/>
          <w:sz w:val="18"/>
          <w:szCs w:val="18"/>
        </w:rPr>
        <w:t>确认为递延</w:t>
      </w:r>
      <w:proofErr w:type="gramEnd"/>
      <w:r>
        <w:rPr>
          <w:rFonts w:hint="eastAsia"/>
          <w:sz w:val="18"/>
          <w:szCs w:val="18"/>
        </w:rPr>
        <w:t>所得税负债。但不包括：</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w:t>
      </w:r>
      <w:r w:rsidRPr="004E7FBF">
        <w:rPr>
          <w:sz w:val="18"/>
          <w:szCs w:val="18"/>
        </w:rPr>
        <w:t>1</w:t>
      </w:r>
      <w:r>
        <w:rPr>
          <w:rFonts w:hint="eastAsia"/>
          <w:sz w:val="18"/>
          <w:szCs w:val="18"/>
        </w:rPr>
        <w:t>）商誉的初始确认所形成的暂时性差异；</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w:t>
      </w:r>
      <w:r w:rsidRPr="004E7FBF">
        <w:rPr>
          <w:sz w:val="18"/>
          <w:szCs w:val="18"/>
        </w:rPr>
        <w:t>2</w:t>
      </w:r>
      <w:r>
        <w:rPr>
          <w:rFonts w:hint="eastAsia"/>
          <w:sz w:val="18"/>
          <w:szCs w:val="18"/>
        </w:rPr>
        <w:t>）非企业合并形成的交易或事项，且该交易或事项发生时既不影响会计利润，也不影响应纳税所得额（或可抵扣亏损）所形成的暂时性差异；</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w:t>
      </w:r>
      <w:r w:rsidRPr="004E7FBF">
        <w:rPr>
          <w:sz w:val="18"/>
          <w:szCs w:val="18"/>
        </w:rPr>
        <w:t>3</w:t>
      </w:r>
      <w:r>
        <w:rPr>
          <w:rFonts w:hint="eastAsia"/>
          <w:sz w:val="18"/>
          <w:szCs w:val="18"/>
        </w:rPr>
        <w:t>）对于与子公司、联营企业投资相关的应纳税暂时性差异，该暂时性差异转回的时间能够控制并且该暂时性差异在可预见的未来很可能不会转回。</w:t>
      </w:r>
    </w:p>
    <w:p w:rsidR="00BE788E" w:rsidRDefault="00BE788E" w:rsidP="00F34484">
      <w:pPr>
        <w:widowControl/>
        <w:numPr>
          <w:ilvl w:val="0"/>
          <w:numId w:val="95"/>
        </w:numPr>
        <w:spacing w:before="100" w:beforeAutospacing="1" w:after="100" w:afterAutospacing="1"/>
        <w:divId w:val="1534921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同时满足下列条件时，</w:t>
      </w:r>
      <w:proofErr w:type="gramStart"/>
      <w:r>
        <w:rPr>
          <w:rFonts w:hint="eastAsia"/>
          <w:sz w:val="18"/>
          <w:szCs w:val="18"/>
        </w:rPr>
        <w:t>将递延</w:t>
      </w:r>
      <w:proofErr w:type="gramEnd"/>
      <w:r>
        <w:rPr>
          <w:rFonts w:hint="eastAsia"/>
          <w:sz w:val="18"/>
          <w:szCs w:val="18"/>
        </w:rPr>
        <w:t>所得税资产及递延所得税负债以</w:t>
      </w:r>
      <w:proofErr w:type="gramStart"/>
      <w:r>
        <w:rPr>
          <w:rFonts w:hint="eastAsia"/>
          <w:sz w:val="18"/>
          <w:szCs w:val="18"/>
        </w:rPr>
        <w:t>抵销</w:t>
      </w:r>
      <w:proofErr w:type="gramEnd"/>
      <w:r>
        <w:rPr>
          <w:rFonts w:hint="eastAsia"/>
          <w:sz w:val="18"/>
          <w:szCs w:val="18"/>
        </w:rPr>
        <w:t>后的净额列示</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w:t>
      </w:r>
      <w:r w:rsidRPr="004E7FBF">
        <w:rPr>
          <w:sz w:val="18"/>
          <w:szCs w:val="18"/>
        </w:rPr>
        <w:t>1</w:t>
      </w:r>
      <w:r>
        <w:rPr>
          <w:rFonts w:hint="eastAsia"/>
          <w:sz w:val="18"/>
          <w:szCs w:val="18"/>
        </w:rPr>
        <w:t>）企业拥有以净额结算当期所得税资产及当期所得税负债的法定权利；</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w:t>
      </w:r>
      <w:r w:rsidRPr="004E7FBF">
        <w:rPr>
          <w:sz w:val="18"/>
          <w:szCs w:val="18"/>
        </w:rPr>
        <w:t>2</w:t>
      </w:r>
      <w:r>
        <w:rPr>
          <w:rFonts w:hint="eastAsia"/>
          <w:sz w:val="18"/>
          <w:szCs w:val="18"/>
        </w:rPr>
        <w:t>）递延所得税资产和递延所得税负债是与同</w:t>
      </w:r>
      <w:proofErr w:type="gramStart"/>
      <w:r>
        <w:rPr>
          <w:rFonts w:hint="eastAsia"/>
          <w:sz w:val="18"/>
          <w:szCs w:val="18"/>
        </w:rPr>
        <w:t>一税收</w:t>
      </w:r>
      <w:proofErr w:type="gramEnd"/>
      <w:r>
        <w:rPr>
          <w:rFonts w:hint="eastAsia"/>
          <w:sz w:val="18"/>
          <w:szCs w:val="18"/>
        </w:rPr>
        <w:t>征管部门对同一纳税主体征收的所得税相关或者对不同的纳税主体相关，但在未来每一具有重要性的递延所得税资产和递延所得税负债转回的期间内，涉及的纳税主体</w:t>
      </w:r>
      <w:proofErr w:type="gramStart"/>
      <w:r>
        <w:rPr>
          <w:rFonts w:hint="eastAsia"/>
          <w:sz w:val="18"/>
          <w:szCs w:val="18"/>
        </w:rPr>
        <w:t>体</w:t>
      </w:r>
      <w:proofErr w:type="gramEnd"/>
      <w:r>
        <w:rPr>
          <w:rFonts w:hint="eastAsia"/>
          <w:sz w:val="18"/>
          <w:szCs w:val="18"/>
        </w:rPr>
        <w:t xml:space="preserve">意图以净额结算当期所得税资产及当期所得税负债或是同时取得资产、清偿债务。 </w:t>
      </w:r>
    </w:p>
    <w:p w:rsidR="00037019" w:rsidRDefault="00BE788E">
      <w:pPr>
        <w:pStyle w:val="3"/>
        <w:spacing w:line="280" w:lineRule="exact"/>
        <w:jc w:val="left"/>
        <w:rPr>
          <w:rFonts w:ascii="宋体" w:hAnsi="宋体" w:cs="宋体"/>
          <w:b/>
          <w:bCs/>
        </w:rPr>
      </w:pPr>
      <w:bookmarkStart w:id="65" w:name="_Toc989055"/>
      <w:r>
        <w:rPr>
          <w:rFonts w:ascii="宋体" w:hAnsi="宋体" w:cs="宋体"/>
          <w:b/>
          <w:bCs/>
        </w:rPr>
        <w:t>41、租赁</w:t>
      </w:r>
      <w:bookmarkEnd w:id="65"/>
    </w:p>
    <w:p w:rsidR="00037019" w:rsidRDefault="00BE788E">
      <w:pPr>
        <w:keepNext/>
        <w:keepLines/>
        <w:spacing w:before="300" w:after="300" w:line="280" w:lineRule="exact"/>
        <w:outlineLvl w:val="3"/>
        <w:rPr>
          <w:rFonts w:ascii="宋体" w:eastAsia="宋体" w:hAnsi="宋体" w:cs="宋体"/>
          <w:b/>
          <w:bCs/>
          <w:szCs w:val="21"/>
        </w:rPr>
      </w:pPr>
      <w:bookmarkStart w:id="66" w:name="_Toc989056"/>
      <w:r>
        <w:rPr>
          <w:rFonts w:ascii="宋体" w:eastAsia="宋体" w:hAnsi="宋体" w:cs="宋体"/>
          <w:b/>
          <w:bCs/>
          <w:szCs w:val="21"/>
        </w:rPr>
        <w:t>（1） 作为承租方租赁的会计处理方法</w:t>
      </w:r>
      <w:bookmarkEnd w:id="66"/>
    </w:p>
    <w:p w:rsidR="00BE788E" w:rsidRPr="004E7FBF" w:rsidRDefault="00BE788E" w:rsidP="004E7FBF">
      <w:pPr>
        <w:pStyle w:val="a3"/>
        <w:spacing w:before="0" w:beforeAutospacing="0" w:after="0" w:afterAutospacing="0"/>
        <w:ind w:firstLine="420"/>
        <w:jc w:val="both"/>
        <w:divId w:val="879167918"/>
        <w:rPr>
          <w:sz w:val="18"/>
          <w:szCs w:val="18"/>
        </w:rPr>
      </w:pPr>
      <w:r>
        <w:rPr>
          <w:rFonts w:hint="eastAsia"/>
          <w:sz w:val="18"/>
          <w:szCs w:val="18"/>
        </w:rPr>
        <w:t>在租赁期开始日，除应用简化处理的短期租赁和低价值资产租赁外，本公司对租赁确认使用权资产和租赁负债。</w:t>
      </w:r>
    </w:p>
    <w:p w:rsidR="00BE788E" w:rsidRPr="004E7FBF" w:rsidRDefault="00BE788E" w:rsidP="004E7FBF">
      <w:pPr>
        <w:pStyle w:val="a3"/>
        <w:spacing w:before="0" w:beforeAutospacing="0" w:after="0" w:afterAutospacing="0"/>
        <w:ind w:firstLine="420"/>
        <w:jc w:val="both"/>
        <w:divId w:val="879167918"/>
        <w:rPr>
          <w:sz w:val="18"/>
          <w:szCs w:val="18"/>
        </w:rPr>
      </w:pPr>
      <w:r>
        <w:rPr>
          <w:rFonts w:hint="eastAsia"/>
          <w:sz w:val="18"/>
          <w:szCs w:val="18"/>
        </w:rPr>
        <w:t>（1）短期租赁和低价值资产租赁</w:t>
      </w:r>
    </w:p>
    <w:p w:rsidR="00BE788E" w:rsidRPr="004E7FBF" w:rsidRDefault="00BE788E" w:rsidP="004E7FBF">
      <w:pPr>
        <w:pStyle w:val="a3"/>
        <w:spacing w:before="0" w:beforeAutospacing="0" w:after="0" w:afterAutospacing="0"/>
        <w:ind w:firstLine="420"/>
        <w:jc w:val="both"/>
        <w:divId w:val="879167918"/>
        <w:rPr>
          <w:sz w:val="18"/>
          <w:szCs w:val="18"/>
        </w:rPr>
      </w:pPr>
      <w:r>
        <w:rPr>
          <w:rFonts w:hint="eastAsia"/>
          <w:sz w:val="18"/>
          <w:szCs w:val="18"/>
        </w:rPr>
        <w:t>短期租赁是指不包含购买选择权且租赁期不超过12个月的租赁。低价值资产租赁是指单项租赁资产为全新资产时价值较低的租赁，主要包括员工宿舍租赁。</w:t>
      </w:r>
    </w:p>
    <w:p w:rsidR="00BE788E" w:rsidRPr="004E7FBF" w:rsidRDefault="00BE788E" w:rsidP="004E7FBF">
      <w:pPr>
        <w:pStyle w:val="a3"/>
        <w:spacing w:before="0" w:beforeAutospacing="0" w:after="0" w:afterAutospacing="0"/>
        <w:ind w:firstLine="420"/>
        <w:jc w:val="both"/>
        <w:divId w:val="879167918"/>
        <w:rPr>
          <w:sz w:val="18"/>
          <w:szCs w:val="18"/>
        </w:rPr>
      </w:pPr>
      <w:r>
        <w:rPr>
          <w:rFonts w:hint="eastAsia"/>
          <w:sz w:val="18"/>
          <w:szCs w:val="18"/>
        </w:rPr>
        <w:t>本公司对以下短期租赁和低价值资产租赁不确认使用权资产和租赁负债，相关租赁付款额在租赁期内各个期间按照直线法计入相关资产成本或当期损益。</w:t>
      </w:r>
    </w:p>
    <w:tbl>
      <w:tblPr>
        <w:tblW w:w="9097"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18|0|desc|||0|1"/>
      </w:tblPr>
      <w:tblGrid>
        <w:gridCol w:w="1844"/>
        <w:gridCol w:w="7253"/>
      </w:tblGrid>
      <w:tr w:rsidR="00BE788E">
        <w:trPr>
          <w:divId w:val="879167918"/>
          <w:trHeight w:val="340"/>
          <w:jc w:val="center"/>
        </w:trPr>
        <w:tc>
          <w:tcPr>
            <w:tcW w:w="1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项目</w:t>
            </w:r>
          </w:p>
        </w:tc>
        <w:tc>
          <w:tcPr>
            <w:tcW w:w="7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采用简化处理的租赁资产类别</w:t>
            </w:r>
          </w:p>
        </w:tc>
      </w:tr>
      <w:tr w:rsidR="00BE788E">
        <w:trPr>
          <w:divId w:val="879167918"/>
          <w:trHeight w:val="340"/>
          <w:jc w:val="center"/>
        </w:trPr>
        <w:tc>
          <w:tcPr>
            <w:tcW w:w="1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短期租赁</w:t>
            </w:r>
          </w:p>
        </w:tc>
        <w:tc>
          <w:tcPr>
            <w:tcW w:w="7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租赁期在1年及以下的租赁</w:t>
            </w:r>
          </w:p>
        </w:tc>
      </w:tr>
    </w:tbl>
    <w:p w:rsidR="00BE788E" w:rsidRPr="004E7FBF" w:rsidRDefault="00BE788E" w:rsidP="004E7FBF">
      <w:pPr>
        <w:pStyle w:val="a3"/>
        <w:spacing w:before="0" w:beforeAutospacing="0" w:after="0" w:afterAutospacing="0"/>
        <w:ind w:firstLine="420"/>
        <w:jc w:val="both"/>
        <w:divId w:val="879167918"/>
        <w:rPr>
          <w:sz w:val="18"/>
          <w:szCs w:val="18"/>
        </w:rPr>
      </w:pPr>
      <w:r>
        <w:rPr>
          <w:rFonts w:hint="eastAsia"/>
          <w:sz w:val="18"/>
          <w:szCs w:val="18"/>
        </w:rPr>
        <w:t>本公司对除上述以外的短期租赁和低价值资产租赁确认使用权资产和租赁负债。</w:t>
      </w:r>
    </w:p>
    <w:p w:rsidR="00BE788E" w:rsidRDefault="00BE788E">
      <w:pPr>
        <w:pStyle w:val="a3"/>
        <w:spacing w:before="0" w:beforeAutospacing="0" w:after="0" w:afterAutospacing="0" w:line="360" w:lineRule="auto"/>
        <w:ind w:firstLine="420"/>
        <w:divId w:val="879167918"/>
      </w:pPr>
      <w:r>
        <w:rPr>
          <w:rFonts w:hint="eastAsia"/>
          <w:sz w:val="18"/>
          <w:szCs w:val="18"/>
        </w:rPr>
        <w:t>（2）使用权资产</w:t>
      </w:r>
    </w:p>
    <w:p w:rsidR="00BE788E" w:rsidRPr="004E7FBF" w:rsidRDefault="00BE788E" w:rsidP="004E7FBF">
      <w:pPr>
        <w:pStyle w:val="a3"/>
        <w:spacing w:before="0" w:beforeAutospacing="0" w:after="0" w:afterAutospacing="0"/>
        <w:ind w:firstLine="420"/>
        <w:jc w:val="both"/>
        <w:divId w:val="879167918"/>
        <w:rPr>
          <w:sz w:val="18"/>
          <w:szCs w:val="18"/>
        </w:rPr>
      </w:pPr>
      <w:r w:rsidRPr="004E7FBF">
        <w:rPr>
          <w:rFonts w:hint="eastAsia"/>
          <w:sz w:val="18"/>
          <w:szCs w:val="18"/>
        </w:rPr>
        <w:lastRenderedPageBreak/>
        <w:t>本公司对使用权资产按照成本进行初始计量，</w:t>
      </w:r>
      <w:proofErr w:type="gramStart"/>
      <w:r w:rsidRPr="004E7FBF">
        <w:rPr>
          <w:rFonts w:hint="eastAsia"/>
          <w:sz w:val="18"/>
          <w:szCs w:val="18"/>
        </w:rPr>
        <w:t>该成本</w:t>
      </w:r>
      <w:proofErr w:type="gramEnd"/>
      <w:r w:rsidRPr="004E7FBF">
        <w:rPr>
          <w:rFonts w:hint="eastAsia"/>
          <w:sz w:val="18"/>
          <w:szCs w:val="18"/>
        </w:rPr>
        <w:t>包括：</w:t>
      </w:r>
    </w:p>
    <w:p w:rsidR="00BE788E" w:rsidRDefault="00BE788E" w:rsidP="00F34484">
      <w:pPr>
        <w:widowControl/>
        <w:numPr>
          <w:ilvl w:val="5"/>
          <w:numId w:val="96"/>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租赁负债的初始计量金额；</w:t>
      </w:r>
    </w:p>
    <w:p w:rsidR="00BE788E" w:rsidRDefault="00BE788E" w:rsidP="00F34484">
      <w:pPr>
        <w:widowControl/>
        <w:numPr>
          <w:ilvl w:val="5"/>
          <w:numId w:val="96"/>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在租赁期开始日或之前支付的租赁付款额，存在租赁激励的，扣除已享受的租赁激励相关金额；</w:t>
      </w:r>
    </w:p>
    <w:p w:rsidR="00BE788E" w:rsidRDefault="00BE788E" w:rsidP="00F34484">
      <w:pPr>
        <w:widowControl/>
        <w:numPr>
          <w:ilvl w:val="5"/>
          <w:numId w:val="96"/>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本公司发生的初始直接费用；</w:t>
      </w:r>
    </w:p>
    <w:p w:rsidR="00BE788E" w:rsidRDefault="00BE788E" w:rsidP="00F34484">
      <w:pPr>
        <w:widowControl/>
        <w:numPr>
          <w:ilvl w:val="5"/>
          <w:numId w:val="96"/>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本公司为拆卸及移除租赁资产、复原租赁资产所在场地或将租赁资产恢复至租赁条款约定状态预计将发生的成本（不包括为生产存货而发生的成本）。</w:t>
      </w:r>
    </w:p>
    <w:p w:rsidR="00BE788E" w:rsidRPr="004E7FBF" w:rsidRDefault="00BE788E" w:rsidP="004E7FBF">
      <w:pPr>
        <w:pStyle w:val="a3"/>
        <w:spacing w:before="0" w:beforeAutospacing="0" w:after="0" w:afterAutospacing="0"/>
        <w:ind w:firstLine="420"/>
        <w:jc w:val="both"/>
        <w:divId w:val="879167918"/>
        <w:rPr>
          <w:sz w:val="18"/>
          <w:szCs w:val="18"/>
        </w:rPr>
      </w:pPr>
      <w:r w:rsidRPr="004E7FBF">
        <w:rPr>
          <w:rFonts w:hint="eastAsia"/>
          <w:sz w:val="18"/>
          <w:szCs w:val="18"/>
        </w:rPr>
        <w:t>在租赁期开始日后，本公司采用成本模式对使用权资产进行后续计量。</w:t>
      </w:r>
    </w:p>
    <w:p w:rsidR="00BE788E" w:rsidRPr="004E7FBF" w:rsidRDefault="00BE788E" w:rsidP="004E7FBF">
      <w:pPr>
        <w:pStyle w:val="a3"/>
        <w:spacing w:before="0" w:beforeAutospacing="0" w:after="0" w:afterAutospacing="0"/>
        <w:ind w:firstLine="420"/>
        <w:jc w:val="both"/>
        <w:divId w:val="879167918"/>
        <w:rPr>
          <w:sz w:val="18"/>
          <w:szCs w:val="18"/>
        </w:rPr>
      </w:pPr>
      <w:r w:rsidRPr="004E7FBF">
        <w:rPr>
          <w:rFonts w:hint="eastAsia"/>
          <w:sz w:val="18"/>
          <w:szCs w:val="18"/>
        </w:rPr>
        <w:t>能够合理确定租赁期届满时取得租赁资产所有权的，本公司在租赁资产剩余使用寿命内计提折旧。无法合理确定租赁期届满时能够取得租赁资产所有权的，本公司在租赁期与租赁资产剩余使用寿命两者孰短的期间内计提折旧。对计提了减值准备的使用权资产，则在未来期间按扣除减值准备后的账面价值参照上述原则计提折旧。</w:t>
      </w:r>
    </w:p>
    <w:p w:rsidR="00BE788E" w:rsidRPr="004E7FBF" w:rsidRDefault="00BE788E" w:rsidP="004E7FBF">
      <w:pPr>
        <w:pStyle w:val="a3"/>
        <w:spacing w:before="0" w:beforeAutospacing="0" w:after="0" w:afterAutospacing="0"/>
        <w:ind w:firstLine="420"/>
        <w:jc w:val="both"/>
        <w:divId w:val="879167918"/>
        <w:rPr>
          <w:sz w:val="18"/>
          <w:szCs w:val="18"/>
        </w:rPr>
      </w:pPr>
      <w:r w:rsidRPr="004E7FBF">
        <w:rPr>
          <w:rFonts w:hint="eastAsia"/>
          <w:sz w:val="18"/>
          <w:szCs w:val="18"/>
        </w:rPr>
        <w:t>本公司按照《企业会计准则第</w:t>
      </w:r>
      <w:r w:rsidRPr="004E7FBF">
        <w:rPr>
          <w:sz w:val="18"/>
          <w:szCs w:val="18"/>
        </w:rPr>
        <w:t>8</w:t>
      </w:r>
      <w:r w:rsidRPr="004E7FBF">
        <w:rPr>
          <w:rFonts w:hint="eastAsia"/>
          <w:sz w:val="18"/>
          <w:szCs w:val="18"/>
        </w:rPr>
        <w:t>号——资产减值》的规定来确定使用权资产是否已发生减值，并对已识别的减值损失进行会计处理。具体详见30.长期资产减值。</w:t>
      </w:r>
    </w:p>
    <w:p w:rsidR="00BE788E" w:rsidRDefault="00BE788E">
      <w:pPr>
        <w:pStyle w:val="a3"/>
        <w:spacing w:before="0" w:beforeAutospacing="0" w:after="0" w:afterAutospacing="0" w:line="360" w:lineRule="auto"/>
        <w:ind w:firstLine="420"/>
        <w:jc w:val="both"/>
        <w:divId w:val="879167918"/>
        <w:rPr>
          <w:rFonts w:ascii="Times New Roman" w:hAnsi="Times New Roman" w:cs="Times New Roman"/>
          <w:sz w:val="21"/>
          <w:szCs w:val="21"/>
        </w:rPr>
      </w:pPr>
      <w:r>
        <w:rPr>
          <w:rFonts w:cs="Times New Roman" w:hint="eastAsia"/>
          <w:sz w:val="18"/>
          <w:szCs w:val="18"/>
        </w:rPr>
        <w:t>（3）租赁负债</w:t>
      </w:r>
    </w:p>
    <w:p w:rsidR="00BE788E" w:rsidRPr="004E7FBF" w:rsidRDefault="00BE788E" w:rsidP="004E7FBF">
      <w:pPr>
        <w:pStyle w:val="a3"/>
        <w:spacing w:before="0" w:beforeAutospacing="0" w:after="0" w:afterAutospacing="0"/>
        <w:ind w:firstLine="420"/>
        <w:jc w:val="both"/>
        <w:divId w:val="879167918"/>
        <w:rPr>
          <w:sz w:val="18"/>
          <w:szCs w:val="18"/>
        </w:rPr>
      </w:pPr>
      <w:r w:rsidRPr="004E7FBF">
        <w:rPr>
          <w:rFonts w:hint="eastAsia"/>
          <w:sz w:val="18"/>
          <w:szCs w:val="18"/>
        </w:rPr>
        <w:t>本公司对租赁负债按照租赁期开始日尚未支付的租赁付款额的现值进行初始计量。在计算租赁付款额的现值时，本公司采用租赁内含利率作为折现率；无法确定租赁内含利率的，采用本公司增量借款利率作为折现率。租赁付款额包括：</w:t>
      </w:r>
    </w:p>
    <w:p w:rsidR="00BE788E" w:rsidRDefault="00BE788E" w:rsidP="00F34484">
      <w:pPr>
        <w:widowControl/>
        <w:numPr>
          <w:ilvl w:val="5"/>
          <w:numId w:val="97"/>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扣除租赁激励相关金额后的固定付款额及实质固定付款额；</w:t>
      </w:r>
    </w:p>
    <w:p w:rsidR="00BE788E" w:rsidRDefault="00BE788E" w:rsidP="00F34484">
      <w:pPr>
        <w:widowControl/>
        <w:numPr>
          <w:ilvl w:val="5"/>
          <w:numId w:val="97"/>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取决于指数或比率的可变租赁付款额；</w:t>
      </w:r>
    </w:p>
    <w:p w:rsidR="00BE788E" w:rsidRDefault="00BE788E" w:rsidP="00F34484">
      <w:pPr>
        <w:widowControl/>
        <w:numPr>
          <w:ilvl w:val="5"/>
          <w:numId w:val="97"/>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在本公司合理确定将行使该选择权的情况下，租赁付款额包括购买选择权的行权价格；</w:t>
      </w:r>
    </w:p>
    <w:p w:rsidR="00BE788E" w:rsidRDefault="00BE788E" w:rsidP="00F34484">
      <w:pPr>
        <w:widowControl/>
        <w:numPr>
          <w:ilvl w:val="5"/>
          <w:numId w:val="97"/>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在租赁</w:t>
      </w:r>
      <w:proofErr w:type="gramStart"/>
      <w:r>
        <w:rPr>
          <w:rFonts w:hint="eastAsia"/>
          <w:sz w:val="18"/>
          <w:szCs w:val="18"/>
        </w:rPr>
        <w:t>期反映</w:t>
      </w:r>
      <w:proofErr w:type="gramEnd"/>
      <w:r>
        <w:rPr>
          <w:rFonts w:hint="eastAsia"/>
          <w:sz w:val="18"/>
          <w:szCs w:val="18"/>
        </w:rPr>
        <w:t>出本公司将行使终止租赁选择权的情况下，租赁付款额包括行使终止租赁选择权需支付的款项；</w:t>
      </w:r>
    </w:p>
    <w:p w:rsidR="00BE788E" w:rsidRDefault="00BE788E" w:rsidP="00F34484">
      <w:pPr>
        <w:widowControl/>
        <w:numPr>
          <w:ilvl w:val="5"/>
          <w:numId w:val="97"/>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根据本公司提供的担保余值预计应支付的款项。</w:t>
      </w:r>
    </w:p>
    <w:p w:rsidR="00BE788E" w:rsidRPr="004E7FBF" w:rsidRDefault="00BE788E" w:rsidP="004E7FBF">
      <w:pPr>
        <w:pStyle w:val="a3"/>
        <w:spacing w:before="0" w:beforeAutospacing="0" w:after="0" w:afterAutospacing="0"/>
        <w:ind w:firstLine="420"/>
        <w:jc w:val="both"/>
        <w:divId w:val="879167918"/>
        <w:rPr>
          <w:sz w:val="18"/>
          <w:szCs w:val="18"/>
        </w:rPr>
      </w:pPr>
      <w:r w:rsidRPr="004E7FBF">
        <w:rPr>
          <w:rFonts w:hint="eastAsia"/>
          <w:sz w:val="18"/>
          <w:szCs w:val="18"/>
        </w:rPr>
        <w:t>本公司按照固定的折现率计算租赁负债在租赁期内各期间的利息费用，并计入当期损益或相关资产成本。</w:t>
      </w:r>
    </w:p>
    <w:p w:rsidR="00BE788E" w:rsidRPr="004E7FBF" w:rsidRDefault="00BE788E" w:rsidP="004E7FBF">
      <w:pPr>
        <w:pStyle w:val="a3"/>
        <w:spacing w:before="0" w:beforeAutospacing="0" w:after="0" w:afterAutospacing="0"/>
        <w:ind w:firstLine="420"/>
        <w:jc w:val="both"/>
        <w:divId w:val="879167918"/>
        <w:rPr>
          <w:sz w:val="18"/>
          <w:szCs w:val="18"/>
        </w:rPr>
      </w:pPr>
      <w:r w:rsidRPr="004E7FBF">
        <w:rPr>
          <w:rFonts w:hint="eastAsia"/>
          <w:sz w:val="18"/>
          <w:szCs w:val="18"/>
        </w:rPr>
        <w:t>未纳入租赁负债计量的可变租赁付款额应当在实际发生时计入当期损益或相关资产成本。</w:t>
      </w:r>
    </w:p>
    <w:p w:rsidR="00037019" w:rsidRDefault="00BE788E">
      <w:pPr>
        <w:keepNext/>
        <w:keepLines/>
        <w:spacing w:before="300" w:after="300" w:line="280" w:lineRule="exact"/>
        <w:outlineLvl w:val="3"/>
        <w:rPr>
          <w:rFonts w:ascii="宋体" w:eastAsia="宋体" w:hAnsi="宋体" w:cs="宋体"/>
          <w:b/>
          <w:bCs/>
          <w:szCs w:val="21"/>
        </w:rPr>
      </w:pPr>
      <w:bookmarkStart w:id="67" w:name="_Toc989057"/>
      <w:r>
        <w:rPr>
          <w:rFonts w:ascii="宋体" w:eastAsia="宋体" w:hAnsi="宋体" w:cs="宋体"/>
          <w:b/>
          <w:bCs/>
          <w:szCs w:val="21"/>
        </w:rPr>
        <w:t>（2） 作为出租方租赁的会计处理方法</w:t>
      </w:r>
      <w:bookmarkEnd w:id="67"/>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租赁的分类</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本公司在租赁开始日将租赁分为融资租赁和经营租赁。融资租赁是指实质上转移了与租赁资产所有权有关的几乎全部风险和报酬的租赁，其所有权最终可能转移，也可能不转移。经营租赁是指除融资租赁以外的其他租赁。</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一项租赁存在下列一种或多种情形的，本公司通常分类为融资租赁：</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1）在租赁期届满时，租赁资产的所有权转移给承租人。</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2）承租人有购买租赁资产的选择权，所订立的购买价款与预计行使选择权时租赁资产的公允价值相比足够低，因而在租赁开始日就可以合理确定承租人将行使该选择权。</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3）资产的所有权虽然不转移，但租赁期占租赁资产使用寿命的大部分。</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4）在租赁开始日，</w:t>
      </w:r>
      <w:proofErr w:type="gramStart"/>
      <w:r>
        <w:rPr>
          <w:rFonts w:hint="eastAsia"/>
          <w:sz w:val="18"/>
          <w:szCs w:val="18"/>
        </w:rPr>
        <w:t>租赁收</w:t>
      </w:r>
      <w:proofErr w:type="gramEnd"/>
      <w:r>
        <w:rPr>
          <w:rFonts w:hint="eastAsia"/>
          <w:sz w:val="18"/>
          <w:szCs w:val="18"/>
        </w:rPr>
        <w:t>款额的现值几乎相当于租赁资产的公允价值。</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5）租赁资产性质特殊，如果不作较大改造，只有承租人才能使用。</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一项租赁存在下列一项或</w:t>
      </w:r>
      <w:proofErr w:type="gramStart"/>
      <w:r>
        <w:rPr>
          <w:rFonts w:hint="eastAsia"/>
          <w:sz w:val="18"/>
          <w:szCs w:val="18"/>
        </w:rPr>
        <w:t>多项迹象</w:t>
      </w:r>
      <w:proofErr w:type="gramEnd"/>
      <w:r>
        <w:rPr>
          <w:rFonts w:hint="eastAsia"/>
          <w:sz w:val="18"/>
          <w:szCs w:val="18"/>
        </w:rPr>
        <w:t>的，本公司也可能分类为融资租赁：</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1）若承租人撤销租赁，撤销租赁对出租人造成的损失由承租人承担。</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2）资产余值的公允价值波动所产生的利得或损失归属于承租人。</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3）承租人有能力以远低于市场水平的租金继续租赁至下一期间。</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（2）对融资租赁的会计处理</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lastRenderedPageBreak/>
        <w:t>在租赁期开始日，本公司对融资租赁确认应收融资租赁款，并终止确认融资租赁资产。</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应收融资租赁款初始计量时，以未担保余值和租赁期开始日尚未收到的</w:t>
      </w:r>
      <w:proofErr w:type="gramStart"/>
      <w:r>
        <w:rPr>
          <w:rFonts w:hint="eastAsia"/>
          <w:sz w:val="18"/>
          <w:szCs w:val="18"/>
        </w:rPr>
        <w:t>租赁收</w:t>
      </w:r>
      <w:proofErr w:type="gramEnd"/>
      <w:r>
        <w:rPr>
          <w:rFonts w:hint="eastAsia"/>
          <w:sz w:val="18"/>
          <w:szCs w:val="18"/>
        </w:rPr>
        <w:t>款额按照租赁内含利率折现的现值之和作为应收融资租赁款的入账价值。</w:t>
      </w:r>
      <w:proofErr w:type="gramStart"/>
      <w:r>
        <w:rPr>
          <w:rFonts w:hint="eastAsia"/>
          <w:sz w:val="18"/>
          <w:szCs w:val="18"/>
        </w:rPr>
        <w:t>租赁收</w:t>
      </w:r>
      <w:proofErr w:type="gramEnd"/>
      <w:r>
        <w:rPr>
          <w:rFonts w:hint="eastAsia"/>
          <w:sz w:val="18"/>
          <w:szCs w:val="18"/>
        </w:rPr>
        <w:t>款额包括：</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1）扣除租赁激励相关金额后的固定付款额及实质固定付款额；</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2）取决于指数或比率的可变租赁付款额；</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3）合理确定承租人将行使购买选择权的情况下，</w:t>
      </w:r>
      <w:proofErr w:type="gramStart"/>
      <w:r>
        <w:rPr>
          <w:rFonts w:hint="eastAsia"/>
          <w:sz w:val="18"/>
          <w:szCs w:val="18"/>
        </w:rPr>
        <w:t>租赁收</w:t>
      </w:r>
      <w:proofErr w:type="gramEnd"/>
      <w:r>
        <w:rPr>
          <w:rFonts w:hint="eastAsia"/>
          <w:sz w:val="18"/>
          <w:szCs w:val="18"/>
        </w:rPr>
        <w:t>款额包括购买选择权的行权价格；</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4）租赁</w:t>
      </w:r>
      <w:proofErr w:type="gramStart"/>
      <w:r>
        <w:rPr>
          <w:rFonts w:hint="eastAsia"/>
          <w:sz w:val="18"/>
          <w:szCs w:val="18"/>
        </w:rPr>
        <w:t>期反映</w:t>
      </w:r>
      <w:proofErr w:type="gramEnd"/>
      <w:r>
        <w:rPr>
          <w:rFonts w:hint="eastAsia"/>
          <w:sz w:val="18"/>
          <w:szCs w:val="18"/>
        </w:rPr>
        <w:t>出承租人将行使终止租赁选择权的情况下，</w:t>
      </w:r>
      <w:proofErr w:type="gramStart"/>
      <w:r>
        <w:rPr>
          <w:rFonts w:hint="eastAsia"/>
          <w:sz w:val="18"/>
          <w:szCs w:val="18"/>
        </w:rPr>
        <w:t>租赁收</w:t>
      </w:r>
      <w:proofErr w:type="gramEnd"/>
      <w:r>
        <w:rPr>
          <w:rFonts w:hint="eastAsia"/>
          <w:sz w:val="18"/>
          <w:szCs w:val="18"/>
        </w:rPr>
        <w:t>款额包括承租人行使终止租赁选择权需支付的款项；</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5）由承租人、与承租人有关的一方以及有经济能力履行担保义务的</w:t>
      </w:r>
      <w:proofErr w:type="gramStart"/>
      <w:r>
        <w:rPr>
          <w:rFonts w:hint="eastAsia"/>
          <w:sz w:val="18"/>
          <w:szCs w:val="18"/>
        </w:rPr>
        <w:t>独立第三</w:t>
      </w:r>
      <w:proofErr w:type="gramEnd"/>
      <w:r>
        <w:rPr>
          <w:rFonts w:hint="eastAsia"/>
          <w:sz w:val="18"/>
          <w:szCs w:val="18"/>
        </w:rPr>
        <w:t>方向出租人提供的担保余值。</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本公司按照固定的租赁内含利率计算并确认租赁期内各个期间的利息收入，所取得的未纳入租赁投资净额计量的可变租赁付款额在实际发生时计入当期损益。</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（3）对经营租赁的会计处理</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本公司在租赁期内各个期间采用直线法或其他系统合理的方法，将经营租赁的</w:t>
      </w:r>
      <w:proofErr w:type="gramStart"/>
      <w:r>
        <w:rPr>
          <w:rFonts w:hint="eastAsia"/>
          <w:sz w:val="18"/>
          <w:szCs w:val="18"/>
        </w:rPr>
        <w:t>租赁收</w:t>
      </w:r>
      <w:proofErr w:type="gramEnd"/>
      <w:r>
        <w:rPr>
          <w:rFonts w:hint="eastAsia"/>
          <w:sz w:val="18"/>
          <w:szCs w:val="18"/>
        </w:rPr>
        <w:t>款额确认为租金收入；发生的与经营租赁有关的初始直接费用资本化，在租赁期内按照与租金收入确认相同的基础进行分摊，分期计入当期损益；取得的与经营租赁有关的未计入</w:t>
      </w:r>
      <w:proofErr w:type="gramStart"/>
      <w:r>
        <w:rPr>
          <w:rFonts w:hint="eastAsia"/>
          <w:sz w:val="18"/>
          <w:szCs w:val="18"/>
        </w:rPr>
        <w:t>租赁收</w:t>
      </w:r>
      <w:proofErr w:type="gramEnd"/>
      <w:r>
        <w:rPr>
          <w:rFonts w:hint="eastAsia"/>
          <w:sz w:val="18"/>
          <w:szCs w:val="18"/>
        </w:rPr>
        <w:t>款额的可变租赁付款额，在实际发生时计入当期损益。</w:t>
      </w:r>
    </w:p>
    <w:p w:rsidR="00037019" w:rsidRDefault="00BE788E">
      <w:pPr>
        <w:pStyle w:val="3"/>
        <w:spacing w:line="280" w:lineRule="exact"/>
        <w:jc w:val="left"/>
        <w:rPr>
          <w:rFonts w:ascii="宋体" w:hAnsi="宋体" w:cs="宋体"/>
          <w:b/>
          <w:bCs/>
        </w:rPr>
      </w:pPr>
      <w:bookmarkStart w:id="68" w:name="_Toc989058"/>
      <w:r>
        <w:rPr>
          <w:rFonts w:ascii="宋体" w:hAnsi="宋体" w:cs="宋体"/>
          <w:b/>
          <w:bCs/>
        </w:rPr>
        <w:t>42、其他重要的会计政策和会计估计</w:t>
      </w:r>
      <w:bookmarkEnd w:id="68"/>
    </w:p>
    <w:p w:rsidR="00BE788E" w:rsidRDefault="00BE788E" w:rsidP="00F34484">
      <w:pPr>
        <w:widowControl/>
        <w:numPr>
          <w:ilvl w:val="0"/>
          <w:numId w:val="98"/>
        </w:numPr>
        <w:divId w:val="132216868"/>
        <w:rPr>
          <w:rFonts w:ascii="Calibri" w:hAnsi="Calibri" w:cs="Calibri"/>
          <w:szCs w:val="21"/>
        </w:rPr>
      </w:pPr>
      <w:r>
        <w:rPr>
          <w:rFonts w:cs="Calibri" w:hint="eastAsia"/>
          <w:sz w:val="18"/>
          <w:szCs w:val="18"/>
        </w:rPr>
        <w:t>终止经营</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本公司将满足下列条件之一的，且该组成部分已经处置或划归为持有待售类别的、能够单独区分的组成部分确认为终止经营组成部分：</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w:t>
      </w:r>
      <w:r w:rsidRPr="004E7FBF">
        <w:rPr>
          <w:sz w:val="18"/>
          <w:szCs w:val="18"/>
        </w:rPr>
        <w:t>1</w:t>
      </w:r>
      <w:r>
        <w:rPr>
          <w:rFonts w:hint="eastAsia"/>
          <w:sz w:val="18"/>
          <w:szCs w:val="18"/>
        </w:rPr>
        <w:t>）该组成部分代表一项独立的主要业务或一个单独的主要经营地区。</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w:t>
      </w:r>
      <w:r w:rsidRPr="004E7FBF">
        <w:rPr>
          <w:sz w:val="18"/>
          <w:szCs w:val="18"/>
        </w:rPr>
        <w:t>2</w:t>
      </w:r>
      <w:r>
        <w:rPr>
          <w:rFonts w:hint="eastAsia"/>
          <w:sz w:val="18"/>
          <w:szCs w:val="18"/>
        </w:rPr>
        <w:t>）该组成部分是拟对一项独立的主要业务或一个单独的主要经营地区进行处置的一项相关联计划的一部分。</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w:t>
      </w:r>
      <w:r w:rsidRPr="004E7FBF">
        <w:rPr>
          <w:sz w:val="18"/>
          <w:szCs w:val="18"/>
        </w:rPr>
        <w:t>3</w:t>
      </w:r>
      <w:r>
        <w:rPr>
          <w:rFonts w:hint="eastAsia"/>
          <w:sz w:val="18"/>
          <w:szCs w:val="18"/>
        </w:rPr>
        <w:t>）该组成部分是专为转售而取得的子公司。</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终止经营的减值损失和转回金额等经营损益及处置损益作为终止经营损益在利润表中列示。</w:t>
      </w:r>
    </w:p>
    <w:p w:rsidR="00BE788E" w:rsidRDefault="00BE788E" w:rsidP="00F34484">
      <w:pPr>
        <w:widowControl/>
        <w:numPr>
          <w:ilvl w:val="0"/>
          <w:numId w:val="99"/>
        </w:numPr>
        <w:divId w:val="132216868"/>
        <w:rPr>
          <w:rFonts w:ascii="Calibri" w:hAnsi="Calibri" w:cs="Calibri"/>
          <w:szCs w:val="21"/>
        </w:rPr>
      </w:pPr>
      <w:r>
        <w:rPr>
          <w:rFonts w:cs="Calibri" w:hint="eastAsia"/>
          <w:sz w:val="18"/>
          <w:szCs w:val="18"/>
        </w:rPr>
        <w:t>套期会计</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本公司按照套期关系，将套期保值划分为公允价值套期、现金流量套期和境外净投资套期。</w:t>
      </w:r>
    </w:p>
    <w:p w:rsidR="00BE788E" w:rsidRDefault="00BE788E" w:rsidP="00F34484">
      <w:pPr>
        <w:widowControl/>
        <w:numPr>
          <w:ilvl w:val="0"/>
          <w:numId w:val="100"/>
        </w:numPr>
        <w:spacing w:before="100" w:beforeAutospacing="1" w:after="100" w:afterAutospacing="1"/>
        <w:divId w:val="13221686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对于同时满足下列条件的套期工具，运用套期会计方法进行处理</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w:t>
      </w:r>
      <w:r w:rsidRPr="004E7FBF">
        <w:rPr>
          <w:sz w:val="18"/>
          <w:szCs w:val="18"/>
        </w:rPr>
        <w:t>1</w:t>
      </w:r>
      <w:r>
        <w:rPr>
          <w:rFonts w:hint="eastAsia"/>
          <w:sz w:val="18"/>
          <w:szCs w:val="18"/>
        </w:rPr>
        <w:t>）套</w:t>
      </w:r>
      <w:proofErr w:type="gramStart"/>
      <w:r>
        <w:rPr>
          <w:rFonts w:hint="eastAsia"/>
          <w:sz w:val="18"/>
          <w:szCs w:val="18"/>
        </w:rPr>
        <w:t>期关系</w:t>
      </w:r>
      <w:proofErr w:type="gramEnd"/>
      <w:r>
        <w:rPr>
          <w:rFonts w:hint="eastAsia"/>
          <w:sz w:val="18"/>
          <w:szCs w:val="18"/>
        </w:rPr>
        <w:t>仅由符合条件的套</w:t>
      </w:r>
      <w:proofErr w:type="gramStart"/>
      <w:r>
        <w:rPr>
          <w:rFonts w:hint="eastAsia"/>
          <w:sz w:val="18"/>
          <w:szCs w:val="18"/>
        </w:rPr>
        <w:t>期工具</w:t>
      </w:r>
      <w:proofErr w:type="gramEnd"/>
      <w:r>
        <w:rPr>
          <w:rFonts w:hint="eastAsia"/>
          <w:sz w:val="18"/>
          <w:szCs w:val="18"/>
        </w:rPr>
        <w:t>和被套</w:t>
      </w:r>
      <w:proofErr w:type="gramStart"/>
      <w:r>
        <w:rPr>
          <w:rFonts w:hint="eastAsia"/>
          <w:sz w:val="18"/>
          <w:szCs w:val="18"/>
        </w:rPr>
        <w:t>期项目</w:t>
      </w:r>
      <w:proofErr w:type="gramEnd"/>
      <w:r>
        <w:rPr>
          <w:rFonts w:hint="eastAsia"/>
          <w:sz w:val="18"/>
          <w:szCs w:val="18"/>
        </w:rPr>
        <w:t>组成。</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w:t>
      </w:r>
      <w:r w:rsidRPr="004E7FBF">
        <w:rPr>
          <w:sz w:val="18"/>
          <w:szCs w:val="18"/>
        </w:rPr>
        <w:t>2</w:t>
      </w:r>
      <w:r>
        <w:rPr>
          <w:rFonts w:hint="eastAsia"/>
          <w:sz w:val="18"/>
          <w:szCs w:val="18"/>
        </w:rPr>
        <w:t>）在套期开始时，本公司正式指定了套</w:t>
      </w:r>
      <w:proofErr w:type="gramStart"/>
      <w:r>
        <w:rPr>
          <w:rFonts w:hint="eastAsia"/>
          <w:sz w:val="18"/>
          <w:szCs w:val="18"/>
        </w:rPr>
        <w:t>期工具</w:t>
      </w:r>
      <w:proofErr w:type="gramEnd"/>
      <w:r>
        <w:rPr>
          <w:rFonts w:hint="eastAsia"/>
          <w:sz w:val="18"/>
          <w:szCs w:val="18"/>
        </w:rPr>
        <w:t>和被套期项目，并准备了关于套</w:t>
      </w:r>
      <w:proofErr w:type="gramStart"/>
      <w:r>
        <w:rPr>
          <w:rFonts w:hint="eastAsia"/>
          <w:sz w:val="18"/>
          <w:szCs w:val="18"/>
        </w:rPr>
        <w:t>期关系</w:t>
      </w:r>
      <w:proofErr w:type="gramEnd"/>
      <w:r>
        <w:rPr>
          <w:rFonts w:hint="eastAsia"/>
          <w:sz w:val="18"/>
          <w:szCs w:val="18"/>
        </w:rPr>
        <w:t>和从事套期的风险管理策略和风险管理目标的书面文件。</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w:t>
      </w:r>
      <w:r w:rsidRPr="004E7FBF">
        <w:rPr>
          <w:sz w:val="18"/>
          <w:szCs w:val="18"/>
        </w:rPr>
        <w:t>3</w:t>
      </w:r>
      <w:r>
        <w:rPr>
          <w:rFonts w:hint="eastAsia"/>
          <w:sz w:val="18"/>
          <w:szCs w:val="18"/>
        </w:rPr>
        <w:t>）套</w:t>
      </w:r>
      <w:proofErr w:type="gramStart"/>
      <w:r>
        <w:rPr>
          <w:rFonts w:hint="eastAsia"/>
          <w:sz w:val="18"/>
          <w:szCs w:val="18"/>
        </w:rPr>
        <w:t>期关系</w:t>
      </w:r>
      <w:proofErr w:type="gramEnd"/>
      <w:r>
        <w:rPr>
          <w:rFonts w:hint="eastAsia"/>
          <w:sz w:val="18"/>
          <w:szCs w:val="18"/>
        </w:rPr>
        <w:t>符合套期有效性要求。</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套</w:t>
      </w:r>
      <w:proofErr w:type="gramStart"/>
      <w:r>
        <w:rPr>
          <w:rFonts w:hint="eastAsia"/>
          <w:sz w:val="18"/>
          <w:szCs w:val="18"/>
        </w:rPr>
        <w:t>期同时</w:t>
      </w:r>
      <w:proofErr w:type="gramEnd"/>
      <w:r>
        <w:rPr>
          <w:rFonts w:hint="eastAsia"/>
          <w:sz w:val="18"/>
          <w:szCs w:val="18"/>
        </w:rPr>
        <w:t>满足下列条件的，认定套</w:t>
      </w:r>
      <w:proofErr w:type="gramStart"/>
      <w:r>
        <w:rPr>
          <w:rFonts w:hint="eastAsia"/>
          <w:sz w:val="18"/>
          <w:szCs w:val="18"/>
        </w:rPr>
        <w:t>期关系</w:t>
      </w:r>
      <w:proofErr w:type="gramEnd"/>
      <w:r>
        <w:rPr>
          <w:rFonts w:hint="eastAsia"/>
          <w:sz w:val="18"/>
          <w:szCs w:val="18"/>
        </w:rPr>
        <w:t>符合套期有效性要求：</w:t>
      </w:r>
    </w:p>
    <w:p w:rsidR="00BE788E" w:rsidRPr="004E7FBF" w:rsidRDefault="00BE788E" w:rsidP="004E7FBF">
      <w:pPr>
        <w:pStyle w:val="a3"/>
        <w:spacing w:before="0" w:beforeAutospacing="0" w:after="0" w:afterAutospacing="0"/>
        <w:ind w:firstLine="420"/>
        <w:jc w:val="both"/>
        <w:divId w:val="132216868"/>
        <w:rPr>
          <w:sz w:val="18"/>
          <w:szCs w:val="18"/>
        </w:rPr>
      </w:pPr>
      <w:r w:rsidRPr="004E7FBF">
        <w:rPr>
          <w:sz w:val="18"/>
          <w:szCs w:val="18"/>
        </w:rPr>
        <w:t>1</w:t>
      </w:r>
      <w:r>
        <w:rPr>
          <w:rFonts w:hint="eastAsia"/>
          <w:sz w:val="18"/>
          <w:szCs w:val="18"/>
        </w:rPr>
        <w:t>）被套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之间存在经济关系。该经济关系使得套</w:t>
      </w:r>
      <w:proofErr w:type="gramStart"/>
      <w:r>
        <w:rPr>
          <w:rFonts w:hint="eastAsia"/>
          <w:sz w:val="18"/>
          <w:szCs w:val="18"/>
        </w:rPr>
        <w:t>期工具</w:t>
      </w:r>
      <w:proofErr w:type="gramEnd"/>
      <w:r>
        <w:rPr>
          <w:rFonts w:hint="eastAsia"/>
          <w:sz w:val="18"/>
          <w:szCs w:val="18"/>
        </w:rPr>
        <w:t>和被套</w:t>
      </w:r>
      <w:proofErr w:type="gramStart"/>
      <w:r>
        <w:rPr>
          <w:rFonts w:hint="eastAsia"/>
          <w:sz w:val="18"/>
          <w:szCs w:val="18"/>
        </w:rPr>
        <w:t>期项目</w:t>
      </w:r>
      <w:proofErr w:type="gramEnd"/>
      <w:r>
        <w:rPr>
          <w:rFonts w:hint="eastAsia"/>
          <w:sz w:val="18"/>
          <w:szCs w:val="18"/>
        </w:rPr>
        <w:t>的价值因面临相同的被套期风险而发生方向相反的变动。</w:t>
      </w:r>
    </w:p>
    <w:p w:rsidR="00BE788E" w:rsidRPr="004E7FBF" w:rsidRDefault="00BE788E" w:rsidP="004E7FBF">
      <w:pPr>
        <w:pStyle w:val="a3"/>
        <w:spacing w:before="0" w:beforeAutospacing="0" w:after="0" w:afterAutospacing="0"/>
        <w:ind w:firstLine="420"/>
        <w:jc w:val="both"/>
        <w:divId w:val="132216868"/>
        <w:rPr>
          <w:sz w:val="18"/>
          <w:szCs w:val="18"/>
        </w:rPr>
      </w:pPr>
      <w:r w:rsidRPr="004E7FBF">
        <w:rPr>
          <w:sz w:val="18"/>
          <w:szCs w:val="18"/>
        </w:rPr>
        <w:t>2</w:t>
      </w:r>
      <w:r>
        <w:rPr>
          <w:rFonts w:hint="eastAsia"/>
          <w:sz w:val="18"/>
          <w:szCs w:val="18"/>
        </w:rPr>
        <w:t>）被套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经济关系产生的价值变动中，信用风险的影响不占主导地位。</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3）套</w:t>
      </w:r>
      <w:proofErr w:type="gramStart"/>
      <w:r>
        <w:rPr>
          <w:rFonts w:hint="eastAsia"/>
          <w:sz w:val="18"/>
          <w:szCs w:val="18"/>
        </w:rPr>
        <w:t>期关系</w:t>
      </w:r>
      <w:proofErr w:type="gramEnd"/>
      <w:r>
        <w:rPr>
          <w:rFonts w:hint="eastAsia"/>
          <w:sz w:val="18"/>
          <w:szCs w:val="18"/>
        </w:rPr>
        <w:t>的套期比率，等于公司实际套期的被套</w:t>
      </w:r>
      <w:proofErr w:type="gramStart"/>
      <w:r>
        <w:rPr>
          <w:rFonts w:hint="eastAsia"/>
          <w:sz w:val="18"/>
          <w:szCs w:val="18"/>
        </w:rPr>
        <w:t>期项目</w:t>
      </w:r>
      <w:proofErr w:type="gramEnd"/>
      <w:r>
        <w:rPr>
          <w:rFonts w:hint="eastAsia"/>
          <w:sz w:val="18"/>
          <w:szCs w:val="18"/>
        </w:rPr>
        <w:t>数量与对其进行套期的套</w:t>
      </w:r>
      <w:proofErr w:type="gramStart"/>
      <w:r>
        <w:rPr>
          <w:rFonts w:hint="eastAsia"/>
          <w:sz w:val="18"/>
          <w:szCs w:val="18"/>
        </w:rPr>
        <w:t>期工具</w:t>
      </w:r>
      <w:proofErr w:type="gramEnd"/>
      <w:r>
        <w:rPr>
          <w:rFonts w:hint="eastAsia"/>
          <w:sz w:val="18"/>
          <w:szCs w:val="18"/>
        </w:rPr>
        <w:t>实际数量之比，但不反映被套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相对权重的失衡，这种失衡会导致套期无效，并可能产生与套期会计目标不一致的会计结果。</w:t>
      </w:r>
    </w:p>
    <w:p w:rsidR="00BE788E" w:rsidRDefault="00BE788E" w:rsidP="00F34484">
      <w:pPr>
        <w:widowControl/>
        <w:numPr>
          <w:ilvl w:val="0"/>
          <w:numId w:val="101"/>
        </w:numPr>
        <w:spacing w:before="100" w:beforeAutospacing="1" w:after="100" w:afterAutospacing="1"/>
        <w:divId w:val="13221686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公允价值套期会计处理</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（1）套</w:t>
      </w:r>
      <w:proofErr w:type="gramStart"/>
      <w:r>
        <w:rPr>
          <w:rFonts w:hint="eastAsia"/>
          <w:sz w:val="18"/>
          <w:szCs w:val="18"/>
        </w:rPr>
        <w:t>期工具</w:t>
      </w:r>
      <w:proofErr w:type="gramEnd"/>
      <w:r>
        <w:rPr>
          <w:rFonts w:hint="eastAsia"/>
          <w:sz w:val="18"/>
          <w:szCs w:val="18"/>
        </w:rPr>
        <w:t>产生的利得或损失计入当期损益。如果套</w:t>
      </w:r>
      <w:proofErr w:type="gramStart"/>
      <w:r>
        <w:rPr>
          <w:rFonts w:hint="eastAsia"/>
          <w:sz w:val="18"/>
          <w:szCs w:val="18"/>
        </w:rPr>
        <w:t>期工具</w:t>
      </w:r>
      <w:proofErr w:type="gramEnd"/>
      <w:r>
        <w:rPr>
          <w:rFonts w:hint="eastAsia"/>
          <w:sz w:val="18"/>
          <w:szCs w:val="18"/>
        </w:rPr>
        <w:t>是对选择以公允价值计量且其变动计入其他综合收益的</w:t>
      </w:r>
      <w:proofErr w:type="gramStart"/>
      <w:r>
        <w:rPr>
          <w:rFonts w:hint="eastAsia"/>
          <w:sz w:val="18"/>
          <w:szCs w:val="18"/>
        </w:rPr>
        <w:t>非交易</w:t>
      </w:r>
      <w:proofErr w:type="gramEnd"/>
      <w:r>
        <w:rPr>
          <w:rFonts w:hint="eastAsia"/>
          <w:sz w:val="18"/>
          <w:szCs w:val="18"/>
        </w:rPr>
        <w:t>性权益工具投资（或其组成部分）进行套期的，套</w:t>
      </w:r>
      <w:proofErr w:type="gramStart"/>
      <w:r>
        <w:rPr>
          <w:rFonts w:hint="eastAsia"/>
          <w:sz w:val="18"/>
          <w:szCs w:val="18"/>
        </w:rPr>
        <w:t>期工具</w:t>
      </w:r>
      <w:proofErr w:type="gramEnd"/>
      <w:r>
        <w:rPr>
          <w:rFonts w:hint="eastAsia"/>
          <w:sz w:val="18"/>
          <w:szCs w:val="18"/>
        </w:rPr>
        <w:t>产生的利得或损失计入其他综合收益。</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lastRenderedPageBreak/>
        <w:t>（2）被套</w:t>
      </w:r>
      <w:proofErr w:type="gramStart"/>
      <w:r>
        <w:rPr>
          <w:rFonts w:hint="eastAsia"/>
          <w:sz w:val="18"/>
          <w:szCs w:val="18"/>
        </w:rPr>
        <w:t>期项目</w:t>
      </w:r>
      <w:proofErr w:type="gramEnd"/>
      <w:r>
        <w:rPr>
          <w:rFonts w:hint="eastAsia"/>
          <w:sz w:val="18"/>
          <w:szCs w:val="18"/>
        </w:rPr>
        <w:t>因被套期风险敞口形成的利得或损失计入当期损益，同时调整未以公允价值计量的已确认被套</w:t>
      </w:r>
      <w:proofErr w:type="gramStart"/>
      <w:r>
        <w:rPr>
          <w:rFonts w:hint="eastAsia"/>
          <w:sz w:val="18"/>
          <w:szCs w:val="18"/>
        </w:rPr>
        <w:t>期项目</w:t>
      </w:r>
      <w:proofErr w:type="gramEnd"/>
      <w:r>
        <w:rPr>
          <w:rFonts w:hint="eastAsia"/>
          <w:sz w:val="18"/>
          <w:szCs w:val="18"/>
        </w:rPr>
        <w:t>的账面价值。被套</w:t>
      </w:r>
      <w:proofErr w:type="gramStart"/>
      <w:r>
        <w:rPr>
          <w:rFonts w:hint="eastAsia"/>
          <w:sz w:val="18"/>
          <w:szCs w:val="18"/>
        </w:rPr>
        <w:t>期项目</w:t>
      </w:r>
      <w:proofErr w:type="gramEnd"/>
      <w:r>
        <w:rPr>
          <w:rFonts w:hint="eastAsia"/>
          <w:sz w:val="18"/>
          <w:szCs w:val="18"/>
        </w:rPr>
        <w:t>为以公允价值计量且其变动计入其他综合收益的金融资产（或其组成部分）的，其因被套期风险敞口形成的利得或损失计入当期损益，其账面价值已经按公允价值计量，不需要调整；被套</w:t>
      </w:r>
      <w:proofErr w:type="gramStart"/>
      <w:r>
        <w:rPr>
          <w:rFonts w:hint="eastAsia"/>
          <w:sz w:val="18"/>
          <w:szCs w:val="18"/>
        </w:rPr>
        <w:t>期项目</w:t>
      </w:r>
      <w:proofErr w:type="gramEnd"/>
      <w:r>
        <w:rPr>
          <w:rFonts w:hint="eastAsia"/>
          <w:sz w:val="18"/>
          <w:szCs w:val="18"/>
        </w:rPr>
        <w:t>为公司选择以公允价值计量且其变动计入其他综合收益的</w:t>
      </w:r>
      <w:proofErr w:type="gramStart"/>
      <w:r>
        <w:rPr>
          <w:rFonts w:hint="eastAsia"/>
          <w:sz w:val="18"/>
          <w:szCs w:val="18"/>
        </w:rPr>
        <w:t>非交易</w:t>
      </w:r>
      <w:proofErr w:type="gramEnd"/>
      <w:r>
        <w:rPr>
          <w:rFonts w:hint="eastAsia"/>
          <w:sz w:val="18"/>
          <w:szCs w:val="18"/>
        </w:rPr>
        <w:t>性权益工具投资（或其组成部分）的，其因被套期风险敞口形成的利得或损失计入其他综合收益，其账面价值已经按公允价值计量，不需要调整。</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被套</w:t>
      </w:r>
      <w:proofErr w:type="gramStart"/>
      <w:r>
        <w:rPr>
          <w:rFonts w:hint="eastAsia"/>
          <w:sz w:val="18"/>
          <w:szCs w:val="18"/>
        </w:rPr>
        <w:t>期项目</w:t>
      </w:r>
      <w:proofErr w:type="gramEnd"/>
      <w:r>
        <w:rPr>
          <w:rFonts w:hint="eastAsia"/>
          <w:sz w:val="18"/>
          <w:szCs w:val="18"/>
        </w:rPr>
        <w:t>为尚未确认的确定承诺（或其组成部分）的，其在套</w:t>
      </w:r>
      <w:proofErr w:type="gramStart"/>
      <w:r>
        <w:rPr>
          <w:rFonts w:hint="eastAsia"/>
          <w:sz w:val="18"/>
          <w:szCs w:val="18"/>
        </w:rPr>
        <w:t>期关系</w:t>
      </w:r>
      <w:proofErr w:type="gramEnd"/>
      <w:r>
        <w:rPr>
          <w:rFonts w:hint="eastAsia"/>
          <w:sz w:val="18"/>
          <w:szCs w:val="18"/>
        </w:rPr>
        <w:t>指定后因被套期风险引起的公允价值累计变动额确认为一项资产或负债，相关的利得或损失计入各相关期间损益。当履行确定承诺而取得资产或承担负债时，调整该资产或负债的初始确认金额，以包括已确认的被套</w:t>
      </w:r>
      <w:proofErr w:type="gramStart"/>
      <w:r>
        <w:rPr>
          <w:rFonts w:hint="eastAsia"/>
          <w:sz w:val="18"/>
          <w:szCs w:val="18"/>
        </w:rPr>
        <w:t>期项目</w:t>
      </w:r>
      <w:proofErr w:type="gramEnd"/>
      <w:r>
        <w:rPr>
          <w:rFonts w:hint="eastAsia"/>
          <w:sz w:val="18"/>
          <w:szCs w:val="18"/>
        </w:rPr>
        <w:t>的公允价值累计变动额。</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（3）被套</w:t>
      </w:r>
      <w:proofErr w:type="gramStart"/>
      <w:r>
        <w:rPr>
          <w:rFonts w:hint="eastAsia"/>
          <w:sz w:val="18"/>
          <w:szCs w:val="18"/>
        </w:rPr>
        <w:t>期项目</w:t>
      </w:r>
      <w:proofErr w:type="gramEnd"/>
      <w:r>
        <w:rPr>
          <w:rFonts w:hint="eastAsia"/>
          <w:sz w:val="18"/>
          <w:szCs w:val="18"/>
        </w:rPr>
        <w:t>为以摊</w:t>
      </w:r>
      <w:proofErr w:type="gramStart"/>
      <w:r>
        <w:rPr>
          <w:rFonts w:hint="eastAsia"/>
          <w:sz w:val="18"/>
          <w:szCs w:val="18"/>
        </w:rPr>
        <w:t>余成本</w:t>
      </w:r>
      <w:proofErr w:type="gramEnd"/>
      <w:r>
        <w:rPr>
          <w:rFonts w:hint="eastAsia"/>
          <w:sz w:val="18"/>
          <w:szCs w:val="18"/>
        </w:rPr>
        <w:t>计量的金融工具（或其组成部分）的，对被套</w:t>
      </w:r>
      <w:proofErr w:type="gramStart"/>
      <w:r>
        <w:rPr>
          <w:rFonts w:hint="eastAsia"/>
          <w:sz w:val="18"/>
          <w:szCs w:val="18"/>
        </w:rPr>
        <w:t>期项目</w:t>
      </w:r>
      <w:proofErr w:type="gramEnd"/>
      <w:r>
        <w:rPr>
          <w:rFonts w:hint="eastAsia"/>
          <w:sz w:val="18"/>
          <w:szCs w:val="18"/>
        </w:rPr>
        <w:t>账面价值所作的调整按照开始摊销日重新计算的实际利率进行摊销，并计入当期损益。该摊销可以自调整日开始，但不晚于对被套</w:t>
      </w:r>
      <w:proofErr w:type="gramStart"/>
      <w:r>
        <w:rPr>
          <w:rFonts w:hint="eastAsia"/>
          <w:sz w:val="18"/>
          <w:szCs w:val="18"/>
        </w:rPr>
        <w:t>期项目</w:t>
      </w:r>
      <w:proofErr w:type="gramEnd"/>
      <w:r>
        <w:rPr>
          <w:rFonts w:hint="eastAsia"/>
          <w:sz w:val="18"/>
          <w:szCs w:val="18"/>
        </w:rPr>
        <w:t>终止进行</w:t>
      </w:r>
      <w:proofErr w:type="gramStart"/>
      <w:r>
        <w:rPr>
          <w:rFonts w:hint="eastAsia"/>
          <w:sz w:val="18"/>
          <w:szCs w:val="18"/>
        </w:rPr>
        <w:t>套期利得</w:t>
      </w:r>
      <w:proofErr w:type="gramEnd"/>
      <w:r>
        <w:rPr>
          <w:rFonts w:hint="eastAsia"/>
          <w:sz w:val="18"/>
          <w:szCs w:val="18"/>
        </w:rPr>
        <w:t>和损失调整的时点。被套</w:t>
      </w:r>
      <w:proofErr w:type="gramStart"/>
      <w:r>
        <w:rPr>
          <w:rFonts w:hint="eastAsia"/>
          <w:sz w:val="18"/>
          <w:szCs w:val="18"/>
        </w:rPr>
        <w:t>期项目</w:t>
      </w:r>
      <w:proofErr w:type="gramEnd"/>
      <w:r>
        <w:rPr>
          <w:rFonts w:hint="eastAsia"/>
          <w:sz w:val="18"/>
          <w:szCs w:val="18"/>
        </w:rPr>
        <w:t>为以公允价值计量且其变动计入其他综合收益的金融资产（或其组成部分）的，则按照相同的方式对累计已确认的</w:t>
      </w:r>
      <w:proofErr w:type="gramStart"/>
      <w:r>
        <w:rPr>
          <w:rFonts w:hint="eastAsia"/>
          <w:sz w:val="18"/>
          <w:szCs w:val="18"/>
        </w:rPr>
        <w:t>套期利得</w:t>
      </w:r>
      <w:proofErr w:type="gramEnd"/>
      <w:r>
        <w:rPr>
          <w:rFonts w:hint="eastAsia"/>
          <w:sz w:val="18"/>
          <w:szCs w:val="18"/>
        </w:rPr>
        <w:t>或损失进行摊销，并计入当期损益，但不调整金融资产（或其组成部分）的账面价值。</w:t>
      </w:r>
    </w:p>
    <w:p w:rsidR="00BE788E" w:rsidRDefault="00BE788E" w:rsidP="00F34484">
      <w:pPr>
        <w:widowControl/>
        <w:numPr>
          <w:ilvl w:val="0"/>
          <w:numId w:val="102"/>
        </w:numPr>
        <w:spacing w:before="100" w:beforeAutospacing="1" w:after="100" w:afterAutospacing="1"/>
        <w:divId w:val="13221686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现金流量套期会计处理</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（1）套</w:t>
      </w:r>
      <w:proofErr w:type="gramStart"/>
      <w:r>
        <w:rPr>
          <w:rFonts w:hint="eastAsia"/>
          <w:sz w:val="18"/>
          <w:szCs w:val="18"/>
        </w:rPr>
        <w:t>期工具</w:t>
      </w:r>
      <w:proofErr w:type="gramEnd"/>
      <w:r>
        <w:rPr>
          <w:rFonts w:hint="eastAsia"/>
          <w:sz w:val="18"/>
          <w:szCs w:val="18"/>
        </w:rPr>
        <w:t>产生的利得或损失中属于套</w:t>
      </w:r>
      <w:proofErr w:type="gramStart"/>
      <w:r>
        <w:rPr>
          <w:rFonts w:hint="eastAsia"/>
          <w:sz w:val="18"/>
          <w:szCs w:val="18"/>
        </w:rPr>
        <w:t>期有效</w:t>
      </w:r>
      <w:proofErr w:type="gramEnd"/>
      <w:r>
        <w:rPr>
          <w:rFonts w:hint="eastAsia"/>
          <w:sz w:val="18"/>
          <w:szCs w:val="18"/>
        </w:rPr>
        <w:t>的部分，作为现金流量套期储备，计入其他综合收益。现金流量套期储备的金额，按照下列两项的绝对额中较低者确定：</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1）套</w:t>
      </w:r>
      <w:proofErr w:type="gramStart"/>
      <w:r>
        <w:rPr>
          <w:rFonts w:hint="eastAsia"/>
          <w:sz w:val="18"/>
          <w:szCs w:val="18"/>
        </w:rPr>
        <w:t>期工具</w:t>
      </w:r>
      <w:proofErr w:type="gramEnd"/>
      <w:r>
        <w:rPr>
          <w:rFonts w:hint="eastAsia"/>
          <w:sz w:val="18"/>
          <w:szCs w:val="18"/>
        </w:rPr>
        <w:t>自套期开始的累计利得或损失；</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2）被套</w:t>
      </w:r>
      <w:proofErr w:type="gramStart"/>
      <w:r>
        <w:rPr>
          <w:rFonts w:hint="eastAsia"/>
          <w:sz w:val="18"/>
          <w:szCs w:val="18"/>
        </w:rPr>
        <w:t>期项目</w:t>
      </w:r>
      <w:proofErr w:type="gramEnd"/>
      <w:r>
        <w:rPr>
          <w:rFonts w:hint="eastAsia"/>
          <w:sz w:val="18"/>
          <w:szCs w:val="18"/>
        </w:rPr>
        <w:t>自套期开始的预计未来现金流量现值的累计变动额。每期计入其他综合收益的现金流量套期储备的金额为当期现金流量套期储备的变动额。</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（2）套</w:t>
      </w:r>
      <w:proofErr w:type="gramStart"/>
      <w:r>
        <w:rPr>
          <w:rFonts w:hint="eastAsia"/>
          <w:sz w:val="18"/>
          <w:szCs w:val="18"/>
        </w:rPr>
        <w:t>期工具</w:t>
      </w:r>
      <w:proofErr w:type="gramEnd"/>
      <w:r>
        <w:rPr>
          <w:rFonts w:hint="eastAsia"/>
          <w:sz w:val="18"/>
          <w:szCs w:val="18"/>
        </w:rPr>
        <w:t>产生的利得或损失中属于套期无效的部分（即扣除计入其他综合收益后的其他利得或损失），计入当期损益。</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（3）现金流量套期储备的金额，按照下列规定处理：</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1）被套</w:t>
      </w:r>
      <w:proofErr w:type="gramStart"/>
      <w:r>
        <w:rPr>
          <w:rFonts w:hint="eastAsia"/>
          <w:sz w:val="18"/>
          <w:szCs w:val="18"/>
        </w:rPr>
        <w:t>期项目</w:t>
      </w:r>
      <w:proofErr w:type="gramEnd"/>
      <w:r>
        <w:rPr>
          <w:rFonts w:hint="eastAsia"/>
          <w:sz w:val="18"/>
          <w:szCs w:val="18"/>
        </w:rPr>
        <w:t>为预期交易，且该预期交易使公司随后确认一项非金融资产或非金融负债的，或者非金融资产或非金融负债的预期交易形成一项适用于公允价值套期会计的确定承诺时，则将原在其他综合收益中确认的现金流量套期储备金额转出，计入该资产或负债的初始确认金额。</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2）对于不属于前一条涉及的现金流量套期，在被套期的预期现金流量影响损益的相同期间，将原在其他综合收益中确认的现金流量套期储备金额转出，计入当期损益。</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3）如果在其他综合收益中确认的现金流量套期储备金额是一项损失，且该损失全部或部分预计在未来会计期间不能弥补的，则在预计不能弥补时，将预计不能弥补的部分从其他综合收益中转出，计入当期损益。</w:t>
      </w:r>
    </w:p>
    <w:p w:rsidR="00BE788E" w:rsidRDefault="00BE788E" w:rsidP="00F34484">
      <w:pPr>
        <w:widowControl/>
        <w:numPr>
          <w:ilvl w:val="0"/>
          <w:numId w:val="103"/>
        </w:numPr>
        <w:spacing w:before="100" w:beforeAutospacing="1" w:after="100" w:afterAutospacing="1"/>
        <w:divId w:val="13221686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境外经营净投资套期</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对境外经营净投资的套期，包括对作为净投资的一部分进行会计处理的货币性项目的套期，本公司按照类似于现金流量套期会计的规定处理:</w:t>
      </w:r>
    </w:p>
    <w:p w:rsidR="00BE788E" w:rsidRDefault="00BE788E" w:rsidP="00F34484">
      <w:pPr>
        <w:widowControl/>
        <w:numPr>
          <w:ilvl w:val="0"/>
          <w:numId w:val="104"/>
        </w:numPr>
        <w:divId w:val="132216868"/>
        <w:rPr>
          <w:rFonts w:ascii="Calibri" w:hAnsi="Calibri" w:cs="Calibri"/>
          <w:szCs w:val="21"/>
        </w:rPr>
      </w:pPr>
      <w:r>
        <w:rPr>
          <w:rFonts w:cs="Calibri" w:hint="eastAsia"/>
          <w:sz w:val="18"/>
          <w:szCs w:val="18"/>
        </w:rPr>
        <w:t>套</w:t>
      </w:r>
      <w:proofErr w:type="gramStart"/>
      <w:r>
        <w:rPr>
          <w:rFonts w:cs="Calibri" w:hint="eastAsia"/>
          <w:sz w:val="18"/>
          <w:szCs w:val="18"/>
        </w:rPr>
        <w:t>期工具</w:t>
      </w:r>
      <w:proofErr w:type="gramEnd"/>
      <w:r>
        <w:rPr>
          <w:rFonts w:cs="Calibri" w:hint="eastAsia"/>
          <w:sz w:val="18"/>
          <w:szCs w:val="18"/>
        </w:rPr>
        <w:t>形成的利得或损失中属于套</w:t>
      </w:r>
      <w:proofErr w:type="gramStart"/>
      <w:r>
        <w:rPr>
          <w:rFonts w:cs="Calibri" w:hint="eastAsia"/>
          <w:sz w:val="18"/>
          <w:szCs w:val="18"/>
        </w:rPr>
        <w:t>期有效</w:t>
      </w:r>
      <w:proofErr w:type="gramEnd"/>
      <w:r>
        <w:rPr>
          <w:rFonts w:cs="Calibri" w:hint="eastAsia"/>
          <w:sz w:val="18"/>
          <w:szCs w:val="18"/>
        </w:rPr>
        <w:t>的部分，应当计入其他综合收益。</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全部或部分处置境外经营时，上述计入其他综合收益的套</w:t>
      </w:r>
      <w:proofErr w:type="gramStart"/>
      <w:r>
        <w:rPr>
          <w:rFonts w:hint="eastAsia"/>
          <w:sz w:val="18"/>
          <w:szCs w:val="18"/>
        </w:rPr>
        <w:t>期工具利</w:t>
      </w:r>
      <w:proofErr w:type="gramEnd"/>
      <w:r>
        <w:rPr>
          <w:rFonts w:hint="eastAsia"/>
          <w:sz w:val="18"/>
          <w:szCs w:val="18"/>
        </w:rPr>
        <w:t>得或损失应当相应转出，计入当期损益。</w:t>
      </w:r>
    </w:p>
    <w:p w:rsidR="00BE788E" w:rsidRDefault="00BE788E" w:rsidP="00F34484">
      <w:pPr>
        <w:widowControl/>
        <w:numPr>
          <w:ilvl w:val="0"/>
          <w:numId w:val="105"/>
        </w:numPr>
        <w:divId w:val="132216868"/>
        <w:rPr>
          <w:rFonts w:ascii="Calibri" w:hAnsi="Calibri" w:cs="Calibri"/>
          <w:szCs w:val="21"/>
        </w:rPr>
      </w:pPr>
      <w:r>
        <w:rPr>
          <w:rFonts w:cs="Calibri" w:hint="eastAsia"/>
          <w:sz w:val="18"/>
          <w:szCs w:val="18"/>
        </w:rPr>
        <w:t>套</w:t>
      </w:r>
      <w:proofErr w:type="gramStart"/>
      <w:r>
        <w:rPr>
          <w:rFonts w:cs="Calibri" w:hint="eastAsia"/>
          <w:sz w:val="18"/>
          <w:szCs w:val="18"/>
        </w:rPr>
        <w:t>期工具</w:t>
      </w:r>
      <w:proofErr w:type="gramEnd"/>
      <w:r>
        <w:rPr>
          <w:rFonts w:cs="Calibri" w:hint="eastAsia"/>
          <w:sz w:val="18"/>
          <w:szCs w:val="18"/>
        </w:rPr>
        <w:t>形成的利得或损失中属于套期无效的部分，应当计入当期损益。</w:t>
      </w:r>
    </w:p>
    <w:p w:rsidR="00BE788E" w:rsidRDefault="00BE788E" w:rsidP="00F34484">
      <w:pPr>
        <w:widowControl/>
        <w:numPr>
          <w:ilvl w:val="0"/>
          <w:numId w:val="106"/>
        </w:numPr>
        <w:spacing w:before="100" w:beforeAutospacing="1" w:after="100" w:afterAutospacing="1"/>
        <w:divId w:val="132216868"/>
        <w:rPr>
          <w:rFonts w:ascii="宋体" w:hAnsi="宋体" w:cs="宋体"/>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终止运用套期会计</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对于发生下列情形之一的，则终止运用套期会计：</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（1）因风险管理目标发生变化，导致套</w:t>
      </w:r>
      <w:proofErr w:type="gramStart"/>
      <w:r>
        <w:rPr>
          <w:rFonts w:hint="eastAsia"/>
          <w:sz w:val="18"/>
          <w:szCs w:val="18"/>
        </w:rPr>
        <w:t>期关系</w:t>
      </w:r>
      <w:proofErr w:type="gramEnd"/>
      <w:r>
        <w:rPr>
          <w:rFonts w:hint="eastAsia"/>
          <w:sz w:val="18"/>
          <w:szCs w:val="18"/>
        </w:rPr>
        <w:t>不再满足风险管理目标。</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（2）套</w:t>
      </w:r>
      <w:proofErr w:type="gramStart"/>
      <w:r>
        <w:rPr>
          <w:rFonts w:hint="eastAsia"/>
          <w:sz w:val="18"/>
          <w:szCs w:val="18"/>
        </w:rPr>
        <w:t>期工具</w:t>
      </w:r>
      <w:proofErr w:type="gramEnd"/>
      <w:r>
        <w:rPr>
          <w:rFonts w:hint="eastAsia"/>
          <w:sz w:val="18"/>
          <w:szCs w:val="18"/>
        </w:rPr>
        <w:t>已到期、被出售、合同终止或已行使。</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lastRenderedPageBreak/>
        <w:t>（3）被套</w:t>
      </w:r>
      <w:proofErr w:type="gramStart"/>
      <w:r>
        <w:rPr>
          <w:rFonts w:hint="eastAsia"/>
          <w:sz w:val="18"/>
          <w:szCs w:val="18"/>
        </w:rPr>
        <w:t>期项目</w:t>
      </w:r>
      <w:proofErr w:type="gramEnd"/>
      <w:r>
        <w:rPr>
          <w:rFonts w:hint="eastAsia"/>
          <w:sz w:val="18"/>
          <w:szCs w:val="18"/>
        </w:rPr>
        <w:t>与套</w:t>
      </w:r>
      <w:proofErr w:type="gramStart"/>
      <w:r>
        <w:rPr>
          <w:rFonts w:hint="eastAsia"/>
          <w:sz w:val="18"/>
          <w:szCs w:val="18"/>
        </w:rPr>
        <w:t>期工具</w:t>
      </w:r>
      <w:proofErr w:type="gramEnd"/>
      <w:r>
        <w:rPr>
          <w:rFonts w:hint="eastAsia"/>
          <w:sz w:val="18"/>
          <w:szCs w:val="18"/>
        </w:rPr>
        <w:t>之间不再存在经济关系，或者被套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经济关系产生的价值变动中，信用风险的影响开始占主导地位。</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（4）套</w:t>
      </w:r>
      <w:proofErr w:type="gramStart"/>
      <w:r>
        <w:rPr>
          <w:rFonts w:hint="eastAsia"/>
          <w:sz w:val="18"/>
          <w:szCs w:val="18"/>
        </w:rPr>
        <w:t>期关系</w:t>
      </w:r>
      <w:proofErr w:type="gramEnd"/>
      <w:r>
        <w:rPr>
          <w:rFonts w:hint="eastAsia"/>
          <w:sz w:val="18"/>
          <w:szCs w:val="18"/>
        </w:rPr>
        <w:t>不再满足本准则所规定的运用套期会计方法的其他条件。在适用套</w:t>
      </w:r>
      <w:proofErr w:type="gramStart"/>
      <w:r>
        <w:rPr>
          <w:rFonts w:hint="eastAsia"/>
          <w:sz w:val="18"/>
          <w:szCs w:val="18"/>
        </w:rPr>
        <w:t>期关系</w:t>
      </w:r>
      <w:proofErr w:type="gramEnd"/>
      <w:r>
        <w:rPr>
          <w:rFonts w:hint="eastAsia"/>
          <w:sz w:val="18"/>
          <w:szCs w:val="18"/>
        </w:rPr>
        <w:t>再平衡的情况下，企业应当首先考虑套</w:t>
      </w:r>
      <w:proofErr w:type="gramStart"/>
      <w:r>
        <w:rPr>
          <w:rFonts w:hint="eastAsia"/>
          <w:sz w:val="18"/>
          <w:szCs w:val="18"/>
        </w:rPr>
        <w:t>期关系</w:t>
      </w:r>
      <w:proofErr w:type="gramEnd"/>
      <w:r>
        <w:rPr>
          <w:rFonts w:hint="eastAsia"/>
          <w:sz w:val="18"/>
          <w:szCs w:val="18"/>
        </w:rPr>
        <w:t>再平衡，然后评估套</w:t>
      </w:r>
      <w:proofErr w:type="gramStart"/>
      <w:r>
        <w:rPr>
          <w:rFonts w:hint="eastAsia"/>
          <w:sz w:val="18"/>
          <w:szCs w:val="18"/>
        </w:rPr>
        <w:t>期关系</w:t>
      </w:r>
      <w:proofErr w:type="gramEnd"/>
      <w:r>
        <w:rPr>
          <w:rFonts w:hint="eastAsia"/>
          <w:sz w:val="18"/>
          <w:szCs w:val="18"/>
        </w:rPr>
        <w:t>是否满足本准则所规定的运用套期会计方法的条件。</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终止套期会计可能会影响套</w:t>
      </w:r>
      <w:proofErr w:type="gramStart"/>
      <w:r>
        <w:rPr>
          <w:rFonts w:hint="eastAsia"/>
          <w:sz w:val="18"/>
          <w:szCs w:val="18"/>
        </w:rPr>
        <w:t>期关系</w:t>
      </w:r>
      <w:proofErr w:type="gramEnd"/>
      <w:r>
        <w:rPr>
          <w:rFonts w:hint="eastAsia"/>
          <w:sz w:val="18"/>
          <w:szCs w:val="18"/>
        </w:rPr>
        <w:t>的整体或其中一部分，在仅影响其中一部分时，剩余未受影响的部分仍适用套期会计。</w:t>
      </w:r>
    </w:p>
    <w:p w:rsidR="00BE788E" w:rsidRDefault="00BE788E" w:rsidP="00F34484">
      <w:pPr>
        <w:widowControl/>
        <w:numPr>
          <w:ilvl w:val="0"/>
          <w:numId w:val="107"/>
        </w:numPr>
        <w:spacing w:before="100" w:beforeAutospacing="1" w:after="100" w:afterAutospacing="1"/>
        <w:divId w:val="13221686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信用风险敞口的公允价值选择</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当使用以公允价值计量且其变动计入当期损益的信用衍生工具管理金融工具（或其组成部分）的信用风险敞口时，可以在该金融工具（或其组成部分）初始确认时、后续计量中或尚未确认时，将其指定为以公允价值计量且其变动计入当期损益的金融工具，并同时</w:t>
      </w:r>
      <w:proofErr w:type="gramStart"/>
      <w:r>
        <w:rPr>
          <w:rFonts w:hint="eastAsia"/>
          <w:sz w:val="18"/>
          <w:szCs w:val="18"/>
        </w:rPr>
        <w:t>作出</w:t>
      </w:r>
      <w:proofErr w:type="gramEnd"/>
      <w:r>
        <w:rPr>
          <w:rFonts w:hint="eastAsia"/>
          <w:sz w:val="18"/>
          <w:szCs w:val="18"/>
        </w:rPr>
        <w:t>书面记录，但应同时满足下列条件：</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（1）金融工具信用风险敞口的主体（如借款人或贷款承诺持有人）与信用衍生工具涉及的主体相一致；</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（2）金融工具的偿付级次与根据信用衍生工具条款须交付的工具的偿付级次相一致。</w:t>
      </w:r>
    </w:p>
    <w:p w:rsidR="00037019" w:rsidRDefault="00BE788E">
      <w:pPr>
        <w:pStyle w:val="3"/>
        <w:spacing w:line="280" w:lineRule="exact"/>
        <w:jc w:val="left"/>
        <w:rPr>
          <w:rFonts w:ascii="宋体" w:hAnsi="宋体" w:cs="宋体"/>
          <w:b/>
          <w:bCs/>
        </w:rPr>
      </w:pPr>
      <w:bookmarkStart w:id="69" w:name="_Toc989059"/>
      <w:r>
        <w:rPr>
          <w:rFonts w:ascii="宋体" w:hAnsi="宋体" w:cs="宋体"/>
          <w:b/>
          <w:bCs/>
        </w:rPr>
        <w:t>43、重要会计政策和会计估计变更</w:t>
      </w:r>
      <w:bookmarkEnd w:id="69"/>
    </w:p>
    <w:p w:rsidR="00037019" w:rsidRDefault="00BE788E">
      <w:pPr>
        <w:keepNext/>
        <w:keepLines/>
        <w:spacing w:before="300" w:after="300" w:line="280" w:lineRule="exact"/>
        <w:outlineLvl w:val="3"/>
        <w:rPr>
          <w:rFonts w:ascii="宋体" w:eastAsia="宋体" w:hAnsi="宋体" w:cs="宋体"/>
          <w:b/>
          <w:bCs/>
          <w:sz w:val="18"/>
          <w:szCs w:val="18"/>
        </w:rPr>
      </w:pPr>
      <w:bookmarkStart w:id="70" w:name="_Toc989060"/>
      <w:r>
        <w:rPr>
          <w:rFonts w:ascii="宋体" w:eastAsia="宋体" w:hAnsi="宋体" w:cs="宋体"/>
          <w:b/>
          <w:bCs/>
          <w:sz w:val="18"/>
          <w:szCs w:val="18"/>
        </w:rPr>
        <w:t>（1） 重要会计政策变更</w:t>
      </w:r>
      <w:bookmarkEnd w:id="70"/>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 w:val="18"/>
          <w:szCs w:val="18"/>
        </w:rPr>
      </w:pPr>
      <w:bookmarkStart w:id="71" w:name="_Toc989061"/>
      <w:r>
        <w:rPr>
          <w:rFonts w:ascii="宋体" w:eastAsia="宋体" w:hAnsi="宋体" w:cs="宋体"/>
          <w:b/>
          <w:bCs/>
          <w:sz w:val="18"/>
          <w:szCs w:val="18"/>
        </w:rPr>
        <w:t>（2） 重要会计估计变更</w:t>
      </w:r>
      <w:bookmarkEnd w:id="71"/>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 w:val="18"/>
          <w:szCs w:val="18"/>
        </w:rPr>
      </w:pPr>
      <w:bookmarkStart w:id="72" w:name="_Toc989062"/>
      <w:r>
        <w:rPr>
          <w:rFonts w:ascii="宋体" w:eastAsia="宋体" w:hAnsi="宋体" w:cs="宋体"/>
          <w:b/>
          <w:bCs/>
          <w:sz w:val="18"/>
          <w:szCs w:val="18"/>
        </w:rPr>
        <w:t>（3） 2024年起首次执行新会计准则调整首次执行当年年初财务报表相关项目情况</w:t>
      </w:r>
      <w:bookmarkEnd w:id="72"/>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73" w:name="_Toc989063"/>
      <w:r>
        <w:rPr>
          <w:rFonts w:ascii="宋体" w:hAnsi="宋体" w:cs="宋体"/>
          <w:b/>
          <w:bCs/>
        </w:rPr>
        <w:t>44、其他</w:t>
      </w:r>
      <w:bookmarkEnd w:id="73"/>
    </w:p>
    <w:p w:rsidR="00BE788E" w:rsidRDefault="00BE788E">
      <w:pPr>
        <w:pStyle w:val="a3"/>
        <w:divId w:val="391000898"/>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74" w:name="_Toc989064"/>
      <w:r>
        <w:rPr>
          <w:rFonts w:ascii="宋体" w:eastAsia="宋体" w:hAnsi="宋体" w:cs="宋体"/>
          <w:b/>
          <w:bCs/>
          <w:sz w:val="24"/>
          <w:szCs w:val="24"/>
        </w:rPr>
        <w:t>六、税项</w:t>
      </w:r>
      <w:bookmarkEnd w:id="74"/>
    </w:p>
    <w:p w:rsidR="00037019" w:rsidRDefault="00BE788E">
      <w:pPr>
        <w:pStyle w:val="3"/>
        <w:spacing w:line="280" w:lineRule="exact"/>
        <w:jc w:val="left"/>
        <w:rPr>
          <w:rFonts w:ascii="宋体" w:hAnsi="宋体" w:cs="宋体"/>
          <w:b/>
          <w:bCs/>
        </w:rPr>
      </w:pPr>
      <w:bookmarkStart w:id="75" w:name="_Toc989065"/>
      <w:r>
        <w:rPr>
          <w:rFonts w:ascii="宋体" w:hAnsi="宋体" w:cs="宋体"/>
          <w:b/>
          <w:bCs/>
        </w:rPr>
        <w:t>1、主要税种及税率</w:t>
      </w:r>
      <w:bookmarkEnd w:id="75"/>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558"/>
        <w:gridCol w:w="2868"/>
      </w:tblGrid>
      <w:tr w:rsidR="00037019" w:rsidTr="004A532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税种</w:t>
            </w:r>
          </w:p>
        </w:tc>
        <w:tc>
          <w:tcPr>
            <w:tcW w:w="355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计税依据</w:t>
            </w:r>
          </w:p>
        </w:tc>
        <w:tc>
          <w:tcPr>
            <w:tcW w:w="28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税率</w:t>
            </w:r>
          </w:p>
        </w:tc>
      </w:tr>
      <w:tr w:rsidR="00037019" w:rsidTr="004A532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增值税</w:t>
            </w:r>
          </w:p>
        </w:tc>
        <w:tc>
          <w:tcPr>
            <w:tcW w:w="355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销售货物、应税劳务收入和应税服务收入</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13%、10%、9%、6%</w:t>
            </w:r>
          </w:p>
        </w:tc>
      </w:tr>
      <w:tr w:rsidR="00037019" w:rsidTr="004A532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55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7%、5%、3%</w:t>
            </w:r>
          </w:p>
        </w:tc>
      </w:tr>
      <w:tr w:rsidR="00037019" w:rsidTr="004A532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企业所得税</w:t>
            </w:r>
          </w:p>
        </w:tc>
        <w:tc>
          <w:tcPr>
            <w:tcW w:w="355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应纳税所得额</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15%、25%、16.5%、20%</w:t>
            </w:r>
          </w:p>
        </w:tc>
      </w:tr>
      <w:tr w:rsidR="00037019" w:rsidTr="004A532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教育费附加</w:t>
            </w:r>
          </w:p>
        </w:tc>
        <w:tc>
          <w:tcPr>
            <w:tcW w:w="355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3.00%</w:t>
            </w:r>
          </w:p>
        </w:tc>
      </w:tr>
      <w:tr w:rsidR="00037019" w:rsidTr="004A532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地方教育费附加</w:t>
            </w:r>
          </w:p>
        </w:tc>
        <w:tc>
          <w:tcPr>
            <w:tcW w:w="355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2.00%</w:t>
            </w:r>
          </w:p>
        </w:tc>
      </w:tr>
      <w:tr w:rsidR="00037019" w:rsidTr="004A532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房产税</w:t>
            </w:r>
          </w:p>
        </w:tc>
        <w:tc>
          <w:tcPr>
            <w:tcW w:w="355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房产税按照房产原值的70%为纳税基准，税率为1.2%，或以租金收入为纳税基准，税率为12%</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1.2%、12%</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存在不同企业所得税税率纳税主体的，披露情况说明</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71"/>
        <w:gridCol w:w="2868"/>
      </w:tblGrid>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纳税主体名称</w:t>
            </w:r>
          </w:p>
        </w:tc>
        <w:tc>
          <w:tcPr>
            <w:tcW w:w="28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所得税税率</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15.00%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香港华孚贸易有限公司、香港华孚有限公司、香港天成贸易有限公司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16.50%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15.00%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阿克苏华孚色纺有限公司、</w:t>
            </w:r>
            <w:proofErr w:type="gramStart"/>
            <w:r>
              <w:rPr>
                <w:rFonts w:ascii="宋体" w:eastAsia="宋体" w:hAnsi="宋体" w:cs="宋体"/>
                <w:sz w:val="18"/>
                <w:szCs w:val="18"/>
              </w:rPr>
              <w:t>奎屯锦孚纺织</w:t>
            </w:r>
            <w:proofErr w:type="gramEnd"/>
            <w:r>
              <w:rPr>
                <w:rFonts w:ascii="宋体" w:eastAsia="宋体" w:hAnsi="宋体" w:cs="宋体"/>
                <w:sz w:val="18"/>
                <w:szCs w:val="18"/>
              </w:rPr>
              <w:t>有限公司、</w:t>
            </w:r>
            <w:proofErr w:type="gramStart"/>
            <w:r>
              <w:rPr>
                <w:rFonts w:ascii="宋体" w:eastAsia="宋体" w:hAnsi="宋体" w:cs="宋体"/>
                <w:sz w:val="18"/>
                <w:szCs w:val="18"/>
              </w:rPr>
              <w:t>新疆六孚纺织工业</w:t>
            </w:r>
            <w:proofErr w:type="gramEnd"/>
            <w:r>
              <w:rPr>
                <w:rFonts w:ascii="宋体" w:eastAsia="宋体" w:hAnsi="宋体" w:cs="宋体"/>
                <w:sz w:val="18"/>
                <w:szCs w:val="18"/>
              </w:rPr>
              <w:t>园有限公司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15.00%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顺道（越南）实业独资有限公司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新疆棉花产业集团伽师棉业有限公司、新疆棉花产业集团岳</w:t>
            </w:r>
            <w:proofErr w:type="gramStart"/>
            <w:r>
              <w:rPr>
                <w:rFonts w:ascii="宋体" w:eastAsia="宋体" w:hAnsi="宋体" w:cs="宋体"/>
                <w:sz w:val="18"/>
                <w:szCs w:val="18"/>
              </w:rPr>
              <w:t>普湖棉业</w:t>
            </w:r>
            <w:proofErr w:type="gramEnd"/>
            <w:r>
              <w:rPr>
                <w:rFonts w:ascii="宋体" w:eastAsia="宋体" w:hAnsi="宋体" w:cs="宋体"/>
                <w:sz w:val="18"/>
                <w:szCs w:val="18"/>
              </w:rPr>
              <w:t>有限公司、</w:t>
            </w:r>
            <w:proofErr w:type="gramStart"/>
            <w:r>
              <w:rPr>
                <w:rFonts w:ascii="宋体" w:eastAsia="宋体" w:hAnsi="宋体" w:cs="宋体"/>
                <w:sz w:val="18"/>
                <w:szCs w:val="18"/>
              </w:rPr>
              <w:t>沙雅银花棉业</w:t>
            </w:r>
            <w:proofErr w:type="gramEnd"/>
            <w:r>
              <w:rPr>
                <w:rFonts w:ascii="宋体" w:eastAsia="宋体" w:hAnsi="宋体" w:cs="宋体"/>
                <w:sz w:val="18"/>
                <w:szCs w:val="18"/>
              </w:rPr>
              <w:t>有限责任公司、库车纵横棉业有限责任公司、新疆华孚</w:t>
            </w:r>
            <w:proofErr w:type="gramStart"/>
            <w:r>
              <w:rPr>
                <w:rFonts w:ascii="宋体" w:eastAsia="宋体" w:hAnsi="宋体" w:cs="宋体"/>
                <w:sz w:val="18"/>
                <w:szCs w:val="18"/>
              </w:rPr>
              <w:t>恒丰棉业</w:t>
            </w:r>
            <w:proofErr w:type="gramEnd"/>
            <w:r>
              <w:rPr>
                <w:rFonts w:ascii="宋体" w:eastAsia="宋体" w:hAnsi="宋体" w:cs="宋体"/>
                <w:sz w:val="18"/>
                <w:szCs w:val="18"/>
              </w:rPr>
              <w:t>有限公司、石河子华孚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roofErr w:type="gramStart"/>
            <w:r>
              <w:rPr>
                <w:rFonts w:ascii="宋体" w:eastAsia="宋体" w:hAnsi="宋体" w:cs="宋体"/>
                <w:sz w:val="18"/>
                <w:szCs w:val="18"/>
              </w:rPr>
              <w:t>胡杨河</w:t>
            </w:r>
            <w:proofErr w:type="gramEnd"/>
            <w:r>
              <w:rPr>
                <w:rFonts w:ascii="宋体" w:eastAsia="宋体" w:hAnsi="宋体" w:cs="宋体"/>
                <w:sz w:val="18"/>
                <w:szCs w:val="18"/>
              </w:rPr>
              <w:t>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有限公司、石河子市华孚</w:t>
            </w:r>
            <w:proofErr w:type="gramStart"/>
            <w:r>
              <w:rPr>
                <w:rFonts w:ascii="宋体" w:eastAsia="宋体" w:hAnsi="宋体" w:cs="宋体"/>
                <w:sz w:val="18"/>
                <w:szCs w:val="18"/>
              </w:rPr>
              <w:t>宏丰棉业</w:t>
            </w:r>
            <w:proofErr w:type="gramEnd"/>
            <w:r>
              <w:rPr>
                <w:rFonts w:ascii="宋体" w:eastAsia="宋体" w:hAnsi="宋体" w:cs="宋体"/>
                <w:sz w:val="18"/>
                <w:szCs w:val="18"/>
              </w:rPr>
              <w:t>有限公司、喀什</w:t>
            </w:r>
            <w:proofErr w:type="gramStart"/>
            <w:r>
              <w:rPr>
                <w:rFonts w:ascii="宋体" w:eastAsia="宋体" w:hAnsi="宋体" w:cs="宋体"/>
                <w:sz w:val="18"/>
                <w:szCs w:val="18"/>
              </w:rPr>
              <w:t>暄</w:t>
            </w:r>
            <w:proofErr w:type="gramEnd"/>
            <w:r>
              <w:rPr>
                <w:rFonts w:ascii="宋体" w:eastAsia="宋体" w:hAnsi="宋体" w:cs="宋体"/>
                <w:sz w:val="18"/>
                <w:szCs w:val="18"/>
              </w:rPr>
              <w:t>纺棉花有限公司、新疆盛孚棉业有限公司、新疆泽孚棉花有限公司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标信纤维</w:t>
            </w:r>
            <w:proofErr w:type="gramEnd"/>
            <w:r>
              <w:rPr>
                <w:rFonts w:ascii="宋体" w:eastAsia="宋体" w:hAnsi="宋体" w:cs="宋体"/>
                <w:sz w:val="18"/>
                <w:szCs w:val="18"/>
              </w:rPr>
              <w:t>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15.00%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新加坡耀佳国际贸易有限公司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17.00%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诸暨市卡拉美拉科技有限公司</w:t>
            </w:r>
            <w:proofErr w:type="gramEnd"/>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15.00%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上海清澄时尚生活用品有限公司、阿克苏华孚新能源有限公司、江苏</w:t>
            </w:r>
            <w:proofErr w:type="gramStart"/>
            <w:r>
              <w:rPr>
                <w:rFonts w:ascii="宋体" w:eastAsia="宋体" w:hAnsi="宋体" w:cs="宋体"/>
                <w:sz w:val="18"/>
                <w:szCs w:val="18"/>
              </w:rPr>
              <w:t>清澄家</w:t>
            </w:r>
            <w:proofErr w:type="gramEnd"/>
            <w:r>
              <w:rPr>
                <w:rFonts w:ascii="宋体" w:eastAsia="宋体" w:hAnsi="宋体" w:cs="宋体"/>
                <w:sz w:val="18"/>
                <w:szCs w:val="18"/>
              </w:rPr>
              <w:t>生活用品有限公司、上海华孚色纺贸易有限公司、浙江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服务有限公司、杭州名</w:t>
            </w:r>
            <w:proofErr w:type="gramStart"/>
            <w:r>
              <w:rPr>
                <w:rFonts w:ascii="宋体" w:eastAsia="宋体" w:hAnsi="宋体" w:cs="宋体"/>
                <w:sz w:val="18"/>
                <w:szCs w:val="18"/>
              </w:rPr>
              <w:t>鲲</w:t>
            </w:r>
            <w:proofErr w:type="gramEnd"/>
            <w:r>
              <w:rPr>
                <w:rFonts w:ascii="宋体" w:eastAsia="宋体" w:hAnsi="宋体" w:cs="宋体"/>
                <w:sz w:val="18"/>
                <w:szCs w:val="18"/>
              </w:rPr>
              <w:t>科技有限公司等</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25.00%</w:t>
            </w:r>
          </w:p>
        </w:tc>
      </w:tr>
    </w:tbl>
    <w:p w:rsidR="00037019" w:rsidRDefault="00BE788E">
      <w:pPr>
        <w:pStyle w:val="3"/>
        <w:spacing w:line="280" w:lineRule="exact"/>
        <w:jc w:val="left"/>
        <w:rPr>
          <w:rFonts w:ascii="宋体" w:hAnsi="宋体" w:cs="宋体"/>
          <w:b/>
          <w:bCs/>
        </w:rPr>
      </w:pPr>
      <w:bookmarkStart w:id="76" w:name="_Toc989066"/>
      <w:r>
        <w:rPr>
          <w:rFonts w:ascii="宋体" w:hAnsi="宋体" w:cs="宋体"/>
          <w:b/>
          <w:bCs/>
        </w:rPr>
        <w:t>2、税收优惠</w:t>
      </w:r>
      <w:bookmarkEnd w:id="76"/>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hint="eastAsia"/>
          <w:sz w:val="18"/>
          <w:szCs w:val="18"/>
        </w:rPr>
        <w:t>1、本公司取得了安徽省科学技术厅、安徽省财政厅、国家税务总局安徽省税务局于</w:t>
      </w:r>
      <w:r w:rsidRPr="004A532F">
        <w:rPr>
          <w:rFonts w:asciiTheme="minorEastAsia" w:eastAsiaTheme="minorEastAsia" w:hAnsiTheme="minorEastAsia" w:cs="Times New Roman"/>
          <w:sz w:val="18"/>
          <w:szCs w:val="18"/>
        </w:rPr>
        <w:t>2021</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9</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18</w:t>
      </w:r>
      <w:r w:rsidRPr="004A532F">
        <w:rPr>
          <w:rFonts w:asciiTheme="minorEastAsia" w:eastAsiaTheme="minorEastAsia" w:hAnsiTheme="minorEastAsia" w:hint="eastAsia"/>
          <w:sz w:val="18"/>
          <w:szCs w:val="18"/>
        </w:rPr>
        <w:t>日联合颁发的证书编号</w:t>
      </w:r>
      <w:r w:rsidRPr="004A532F">
        <w:rPr>
          <w:rFonts w:asciiTheme="minorEastAsia" w:eastAsiaTheme="minorEastAsia" w:hAnsiTheme="minorEastAsia" w:cs="Times New Roman"/>
          <w:sz w:val="18"/>
          <w:szCs w:val="18"/>
        </w:rPr>
        <w:t>GR202134002871</w:t>
      </w:r>
      <w:r w:rsidRPr="004A532F">
        <w:rPr>
          <w:rFonts w:asciiTheme="minorEastAsia" w:eastAsiaTheme="minorEastAsia" w:hAnsiTheme="minorEastAsia" w:hint="eastAsia"/>
          <w:sz w:val="18"/>
          <w:szCs w:val="18"/>
        </w:rPr>
        <w:t>的《高新技术企业证书》，有效期为</w:t>
      </w:r>
      <w:r w:rsidRPr="004A532F">
        <w:rPr>
          <w:rFonts w:asciiTheme="minorEastAsia" w:eastAsiaTheme="minorEastAsia" w:hAnsiTheme="minorEastAsia" w:cs="Times New Roman"/>
          <w:sz w:val="18"/>
          <w:szCs w:val="18"/>
        </w:rPr>
        <w:t>3</w:t>
      </w:r>
      <w:r w:rsidRPr="004A532F">
        <w:rPr>
          <w:rFonts w:asciiTheme="minorEastAsia" w:eastAsiaTheme="minorEastAsia" w:hAnsiTheme="minorEastAsia" w:hint="eastAsia"/>
          <w:sz w:val="18"/>
          <w:szCs w:val="18"/>
        </w:rPr>
        <w:t>年。本公司自</w:t>
      </w:r>
      <w:r w:rsidRPr="004A532F">
        <w:rPr>
          <w:rFonts w:asciiTheme="minorEastAsia" w:eastAsiaTheme="minorEastAsia" w:hAnsiTheme="minorEastAsia" w:cs="Times New Roman"/>
          <w:sz w:val="18"/>
          <w:szCs w:val="18"/>
        </w:rPr>
        <w:t>2021</w:t>
      </w:r>
      <w:r w:rsidRPr="004A532F">
        <w:rPr>
          <w:rFonts w:asciiTheme="minorEastAsia" w:eastAsiaTheme="minorEastAsia" w:hAnsiTheme="minorEastAsia" w:hint="eastAsia"/>
          <w:sz w:val="18"/>
          <w:szCs w:val="18"/>
        </w:rPr>
        <w:t>年度起享受高新技术企业税收优惠税率，即</w:t>
      </w:r>
      <w:r w:rsidRPr="004A532F">
        <w:rPr>
          <w:rFonts w:asciiTheme="minorEastAsia" w:eastAsiaTheme="minorEastAsia" w:hAnsiTheme="minorEastAsia" w:cs="Times New Roman"/>
          <w:sz w:val="18"/>
          <w:szCs w:val="18"/>
        </w:rPr>
        <w:t>2024</w:t>
      </w:r>
      <w:r w:rsidRPr="004A532F">
        <w:rPr>
          <w:rFonts w:asciiTheme="minorEastAsia" w:eastAsiaTheme="minorEastAsia" w:hAnsiTheme="minorEastAsia" w:hint="eastAsia"/>
          <w:sz w:val="18"/>
          <w:szCs w:val="18"/>
        </w:rPr>
        <w:t>年半年度享受</w:t>
      </w:r>
      <w:r w:rsidRPr="004A532F">
        <w:rPr>
          <w:rFonts w:asciiTheme="minorEastAsia" w:eastAsiaTheme="minorEastAsia" w:hAnsiTheme="minorEastAsia" w:cs="Times New Roman"/>
          <w:sz w:val="18"/>
          <w:szCs w:val="18"/>
        </w:rPr>
        <w:t>15%</w:t>
      </w:r>
      <w:r w:rsidRPr="004A532F">
        <w:rPr>
          <w:rFonts w:asciiTheme="minorEastAsia" w:eastAsiaTheme="minorEastAsia" w:hAnsiTheme="minorEastAsia" w:hint="eastAsia"/>
          <w:sz w:val="18"/>
          <w:szCs w:val="18"/>
        </w:rPr>
        <w:t>的企业所得税优惠税率。</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t>2</w:t>
      </w:r>
      <w:r w:rsidRPr="004A532F">
        <w:rPr>
          <w:rFonts w:asciiTheme="minorEastAsia" w:eastAsiaTheme="minorEastAsia" w:hAnsiTheme="minorEastAsia" w:hint="eastAsia"/>
          <w:sz w:val="18"/>
          <w:szCs w:val="18"/>
        </w:rPr>
        <w:t>、根据</w:t>
      </w:r>
      <w:r w:rsidRPr="004A532F">
        <w:rPr>
          <w:rFonts w:asciiTheme="minorEastAsia" w:eastAsiaTheme="minorEastAsia" w:hAnsiTheme="minorEastAsia" w:cs="Times New Roman"/>
          <w:sz w:val="18"/>
          <w:szCs w:val="18"/>
        </w:rPr>
        <w:t>2021</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12</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16</w:t>
      </w:r>
      <w:r w:rsidRPr="004A532F">
        <w:rPr>
          <w:rFonts w:asciiTheme="minorEastAsia" w:eastAsiaTheme="minorEastAsia" w:hAnsiTheme="minorEastAsia" w:hint="eastAsia"/>
          <w:sz w:val="18"/>
          <w:szCs w:val="18"/>
        </w:rPr>
        <w:t>日浙江省科学技术厅、浙江省财政厅、国家税务总局浙江省税务局联合颁发的证书编号</w:t>
      </w:r>
      <w:r w:rsidRPr="004A532F">
        <w:rPr>
          <w:rFonts w:asciiTheme="minorEastAsia" w:eastAsiaTheme="minorEastAsia" w:hAnsiTheme="minorEastAsia" w:cs="Times New Roman"/>
          <w:sz w:val="18"/>
          <w:szCs w:val="18"/>
        </w:rPr>
        <w:t>GR202133001040</w:t>
      </w:r>
      <w:r w:rsidRPr="004A532F">
        <w:rPr>
          <w:rFonts w:asciiTheme="minorEastAsia" w:eastAsiaTheme="minorEastAsia" w:hAnsiTheme="minorEastAsia" w:hint="eastAsia"/>
          <w:sz w:val="18"/>
          <w:szCs w:val="18"/>
        </w:rPr>
        <w:t>的《高新技术企业证书》，有效期为</w:t>
      </w:r>
      <w:r w:rsidRPr="004A532F">
        <w:rPr>
          <w:rFonts w:asciiTheme="minorEastAsia" w:eastAsiaTheme="minorEastAsia" w:hAnsiTheme="minorEastAsia" w:cs="Times New Roman"/>
          <w:sz w:val="18"/>
          <w:szCs w:val="18"/>
        </w:rPr>
        <w:t>3</w:t>
      </w:r>
      <w:r w:rsidRPr="004A532F">
        <w:rPr>
          <w:rFonts w:asciiTheme="minorEastAsia" w:eastAsiaTheme="minorEastAsia" w:hAnsiTheme="minorEastAsia" w:hint="eastAsia"/>
          <w:sz w:val="18"/>
          <w:szCs w:val="18"/>
        </w:rPr>
        <w:t>年。浙江色纺自</w:t>
      </w:r>
      <w:r w:rsidRPr="004A532F">
        <w:rPr>
          <w:rFonts w:asciiTheme="minorEastAsia" w:eastAsiaTheme="minorEastAsia" w:hAnsiTheme="minorEastAsia" w:cs="Times New Roman"/>
          <w:sz w:val="18"/>
          <w:szCs w:val="18"/>
        </w:rPr>
        <w:t>2021</w:t>
      </w:r>
      <w:r w:rsidRPr="004A532F">
        <w:rPr>
          <w:rFonts w:asciiTheme="minorEastAsia" w:eastAsiaTheme="minorEastAsia" w:hAnsiTheme="minorEastAsia" w:hint="eastAsia"/>
          <w:sz w:val="18"/>
          <w:szCs w:val="18"/>
        </w:rPr>
        <w:t>年度起享受高新技术企业税收优惠税率，即</w:t>
      </w:r>
      <w:r w:rsidRPr="004A532F">
        <w:rPr>
          <w:rFonts w:asciiTheme="minorEastAsia" w:eastAsiaTheme="minorEastAsia" w:hAnsiTheme="minorEastAsia" w:cs="Times New Roman"/>
          <w:sz w:val="18"/>
          <w:szCs w:val="18"/>
        </w:rPr>
        <w:t>2024</w:t>
      </w:r>
      <w:r w:rsidRPr="004A532F">
        <w:rPr>
          <w:rFonts w:asciiTheme="minorEastAsia" w:eastAsiaTheme="minorEastAsia" w:hAnsiTheme="minorEastAsia" w:hint="eastAsia"/>
          <w:sz w:val="18"/>
          <w:szCs w:val="18"/>
        </w:rPr>
        <w:t>年半年度享受</w:t>
      </w:r>
      <w:r w:rsidRPr="004A532F">
        <w:rPr>
          <w:rFonts w:asciiTheme="minorEastAsia" w:eastAsiaTheme="minorEastAsia" w:hAnsiTheme="minorEastAsia" w:cs="Times New Roman"/>
          <w:sz w:val="18"/>
          <w:szCs w:val="18"/>
        </w:rPr>
        <w:t>15%</w:t>
      </w:r>
      <w:r w:rsidRPr="004A532F">
        <w:rPr>
          <w:rFonts w:asciiTheme="minorEastAsia" w:eastAsiaTheme="minorEastAsia" w:hAnsiTheme="minorEastAsia" w:hint="eastAsia"/>
          <w:sz w:val="18"/>
          <w:szCs w:val="18"/>
        </w:rPr>
        <w:t>的企业所得税优惠税率。</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t>3</w:t>
      </w:r>
      <w:r w:rsidRPr="004A532F">
        <w:rPr>
          <w:rFonts w:asciiTheme="minorEastAsia" w:eastAsiaTheme="minorEastAsia" w:hAnsiTheme="minorEastAsia" w:hint="eastAsia"/>
          <w:sz w:val="18"/>
          <w:szCs w:val="18"/>
        </w:rPr>
        <w:t>、根据财政部公告</w:t>
      </w:r>
      <w:r w:rsidRPr="004A532F">
        <w:rPr>
          <w:rFonts w:asciiTheme="minorEastAsia" w:eastAsiaTheme="minorEastAsia" w:hAnsiTheme="minorEastAsia" w:cs="Times New Roman"/>
          <w:sz w:val="18"/>
          <w:szCs w:val="18"/>
        </w:rPr>
        <w:t>2020</w:t>
      </w:r>
      <w:r w:rsidRPr="004A532F">
        <w:rPr>
          <w:rFonts w:asciiTheme="minorEastAsia" w:eastAsiaTheme="minorEastAsia" w:hAnsiTheme="minorEastAsia" w:hint="eastAsia"/>
          <w:sz w:val="18"/>
          <w:szCs w:val="18"/>
        </w:rPr>
        <w:t>年第</w:t>
      </w:r>
      <w:r w:rsidRPr="004A532F">
        <w:rPr>
          <w:rFonts w:asciiTheme="minorEastAsia" w:eastAsiaTheme="minorEastAsia" w:hAnsiTheme="minorEastAsia" w:cs="Times New Roman"/>
          <w:sz w:val="18"/>
          <w:szCs w:val="18"/>
        </w:rPr>
        <w:t>23</w:t>
      </w:r>
      <w:r w:rsidRPr="004A532F">
        <w:rPr>
          <w:rFonts w:asciiTheme="minorEastAsia" w:eastAsiaTheme="minorEastAsia" w:hAnsiTheme="minorEastAsia" w:hint="eastAsia"/>
          <w:sz w:val="18"/>
          <w:szCs w:val="18"/>
        </w:rPr>
        <w:t>号文件《财政部</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税务总局</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国家发展改革委关于延续西部大开发企业所得税政策的公告》的规定，对符合</w:t>
      </w:r>
      <w:r w:rsidRPr="004A532F">
        <w:rPr>
          <w:rFonts w:asciiTheme="minorEastAsia" w:eastAsiaTheme="minorEastAsia" w:hAnsiTheme="minorEastAsia" w:cs="Times New Roman"/>
          <w:sz w:val="18"/>
          <w:szCs w:val="18"/>
        </w:rPr>
        <w:t>[</w:t>
      </w:r>
      <w:r w:rsidRPr="004A532F">
        <w:rPr>
          <w:rFonts w:asciiTheme="minorEastAsia" w:eastAsiaTheme="minorEastAsia" w:hAnsiTheme="minorEastAsia" w:hint="eastAsia"/>
          <w:sz w:val="18"/>
          <w:szCs w:val="18"/>
        </w:rPr>
        <w:t>西部地区鼓励类产业目录</w:t>
      </w:r>
      <w:r w:rsidRPr="004A532F">
        <w:rPr>
          <w:rFonts w:asciiTheme="minorEastAsia" w:eastAsiaTheme="minorEastAsia" w:hAnsiTheme="minorEastAsia" w:cs="Times New Roman"/>
          <w:sz w:val="18"/>
          <w:szCs w:val="18"/>
        </w:rPr>
        <w:t>]</w:t>
      </w:r>
      <w:r w:rsidRPr="004A532F">
        <w:rPr>
          <w:rFonts w:asciiTheme="minorEastAsia" w:eastAsiaTheme="minorEastAsia" w:hAnsiTheme="minorEastAsia" w:hint="eastAsia"/>
          <w:sz w:val="18"/>
          <w:szCs w:val="18"/>
        </w:rPr>
        <w:t>第二十大类中的第六项的新疆自治区境内的纺织企业，自</w:t>
      </w:r>
      <w:r w:rsidRPr="004A532F">
        <w:rPr>
          <w:rFonts w:asciiTheme="minorEastAsia" w:eastAsiaTheme="minorEastAsia" w:hAnsiTheme="minorEastAsia" w:cs="Times New Roman"/>
          <w:sz w:val="18"/>
          <w:szCs w:val="18"/>
        </w:rPr>
        <w:t>2020</w:t>
      </w:r>
      <w:r w:rsidRPr="004A532F">
        <w:rPr>
          <w:rFonts w:asciiTheme="minorEastAsia" w:eastAsiaTheme="minorEastAsia" w:hAnsiTheme="minorEastAsia" w:hint="eastAsia"/>
          <w:sz w:val="18"/>
          <w:szCs w:val="18"/>
        </w:rPr>
        <w:t>年至</w:t>
      </w:r>
      <w:r w:rsidRPr="004A532F">
        <w:rPr>
          <w:rFonts w:asciiTheme="minorEastAsia" w:eastAsiaTheme="minorEastAsia" w:hAnsiTheme="minorEastAsia" w:cs="Times New Roman"/>
          <w:sz w:val="18"/>
          <w:szCs w:val="18"/>
        </w:rPr>
        <w:t>2030</w:t>
      </w:r>
      <w:r w:rsidRPr="004A532F">
        <w:rPr>
          <w:rFonts w:asciiTheme="minorEastAsia" w:eastAsiaTheme="minorEastAsia" w:hAnsiTheme="minorEastAsia" w:hint="eastAsia"/>
          <w:sz w:val="18"/>
          <w:szCs w:val="18"/>
        </w:rPr>
        <w:t>年，对设在西部地区的鼓励类产业企业减按</w:t>
      </w:r>
      <w:r w:rsidRPr="004A532F">
        <w:rPr>
          <w:rFonts w:asciiTheme="minorEastAsia" w:eastAsiaTheme="minorEastAsia" w:hAnsiTheme="minorEastAsia" w:cs="Times New Roman"/>
          <w:sz w:val="18"/>
          <w:szCs w:val="18"/>
        </w:rPr>
        <w:t>15%</w:t>
      </w:r>
      <w:r w:rsidRPr="004A532F">
        <w:rPr>
          <w:rFonts w:asciiTheme="minorEastAsia" w:eastAsiaTheme="minorEastAsia" w:hAnsiTheme="minorEastAsia" w:hint="eastAsia"/>
          <w:sz w:val="18"/>
          <w:szCs w:val="18"/>
        </w:rPr>
        <w:t>的税率征收企业所得税。据此，本公司之子公司阿克苏华孚、</w:t>
      </w:r>
      <w:proofErr w:type="gramStart"/>
      <w:r w:rsidRPr="004A532F">
        <w:rPr>
          <w:rFonts w:asciiTheme="minorEastAsia" w:eastAsiaTheme="minorEastAsia" w:hAnsiTheme="minorEastAsia" w:hint="eastAsia"/>
          <w:sz w:val="18"/>
          <w:szCs w:val="18"/>
        </w:rPr>
        <w:t>奎屯锦孚纺织</w:t>
      </w:r>
      <w:proofErr w:type="gramEnd"/>
      <w:r w:rsidRPr="004A532F">
        <w:rPr>
          <w:rFonts w:asciiTheme="minorEastAsia" w:eastAsiaTheme="minorEastAsia" w:hAnsiTheme="minorEastAsia" w:hint="eastAsia"/>
          <w:sz w:val="18"/>
          <w:szCs w:val="18"/>
        </w:rPr>
        <w:t>、</w:t>
      </w:r>
      <w:proofErr w:type="gramStart"/>
      <w:r w:rsidRPr="004A532F">
        <w:rPr>
          <w:rFonts w:asciiTheme="minorEastAsia" w:eastAsiaTheme="minorEastAsia" w:hAnsiTheme="minorEastAsia" w:hint="eastAsia"/>
          <w:sz w:val="18"/>
          <w:szCs w:val="18"/>
        </w:rPr>
        <w:t>新疆六孚纺织</w:t>
      </w:r>
      <w:proofErr w:type="gramEnd"/>
      <w:r w:rsidRPr="004A532F">
        <w:rPr>
          <w:rFonts w:asciiTheme="minorEastAsia" w:eastAsiaTheme="minorEastAsia" w:hAnsiTheme="minorEastAsia" w:hint="eastAsia"/>
          <w:sz w:val="18"/>
          <w:szCs w:val="18"/>
        </w:rPr>
        <w:t>享受</w:t>
      </w:r>
      <w:r w:rsidRPr="004A532F">
        <w:rPr>
          <w:rFonts w:asciiTheme="minorEastAsia" w:eastAsiaTheme="minorEastAsia" w:hAnsiTheme="minorEastAsia" w:cs="Times New Roman"/>
          <w:sz w:val="18"/>
          <w:szCs w:val="18"/>
        </w:rPr>
        <w:t>15%</w:t>
      </w:r>
      <w:r w:rsidRPr="004A532F">
        <w:rPr>
          <w:rFonts w:asciiTheme="minorEastAsia" w:eastAsiaTheme="minorEastAsia" w:hAnsiTheme="minorEastAsia" w:hint="eastAsia"/>
          <w:sz w:val="18"/>
          <w:szCs w:val="18"/>
        </w:rPr>
        <w:t>的企业所得税率。</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t>4</w:t>
      </w:r>
      <w:r w:rsidRPr="004A532F">
        <w:rPr>
          <w:rFonts w:asciiTheme="minorEastAsia" w:eastAsiaTheme="minorEastAsia" w:hAnsiTheme="minorEastAsia" w:hint="eastAsia"/>
          <w:sz w:val="18"/>
          <w:szCs w:val="18"/>
        </w:rPr>
        <w:t>、根据越南现行的</w:t>
      </w:r>
      <w:r w:rsidRPr="004A532F">
        <w:rPr>
          <w:rFonts w:asciiTheme="minorEastAsia" w:eastAsiaTheme="minorEastAsia" w:hAnsiTheme="minorEastAsia" w:cs="Times New Roman"/>
          <w:sz w:val="18"/>
          <w:szCs w:val="18"/>
        </w:rPr>
        <w:t xml:space="preserve">78/2014/TT-BTC </w:t>
      </w:r>
      <w:r w:rsidRPr="004A532F">
        <w:rPr>
          <w:rFonts w:asciiTheme="minorEastAsia" w:eastAsiaTheme="minorEastAsia" w:hAnsiTheme="minorEastAsia" w:hint="eastAsia"/>
          <w:sz w:val="18"/>
          <w:szCs w:val="18"/>
        </w:rPr>
        <w:t>和</w:t>
      </w:r>
      <w:r w:rsidRPr="004A532F">
        <w:rPr>
          <w:rFonts w:asciiTheme="minorEastAsia" w:eastAsiaTheme="minorEastAsia" w:hAnsiTheme="minorEastAsia" w:cs="Times New Roman"/>
          <w:sz w:val="18"/>
          <w:szCs w:val="18"/>
        </w:rPr>
        <w:t xml:space="preserve">96/2015/TT-BTC </w:t>
      </w:r>
      <w:r w:rsidRPr="004A532F">
        <w:rPr>
          <w:rFonts w:asciiTheme="minorEastAsia" w:eastAsiaTheme="minorEastAsia" w:hAnsiTheme="minorEastAsia" w:hint="eastAsia"/>
          <w:sz w:val="18"/>
          <w:szCs w:val="18"/>
        </w:rPr>
        <w:t>法规以及</w:t>
      </w:r>
      <w:r w:rsidRPr="004A532F">
        <w:rPr>
          <w:rFonts w:asciiTheme="minorEastAsia" w:eastAsiaTheme="minorEastAsia" w:hAnsiTheme="minorEastAsia" w:cs="Times New Roman"/>
          <w:sz w:val="18"/>
          <w:szCs w:val="18"/>
        </w:rPr>
        <w:t xml:space="preserve">57/2021/ND-CP </w:t>
      </w:r>
      <w:r w:rsidRPr="004A532F">
        <w:rPr>
          <w:rFonts w:asciiTheme="minorEastAsia" w:eastAsiaTheme="minorEastAsia" w:hAnsiTheme="minorEastAsia" w:hint="eastAsia"/>
          <w:sz w:val="18"/>
          <w:szCs w:val="18"/>
        </w:rPr>
        <w:t>和</w:t>
      </w:r>
      <w:r w:rsidRPr="004A532F">
        <w:rPr>
          <w:rFonts w:asciiTheme="minorEastAsia" w:eastAsiaTheme="minorEastAsia" w:hAnsiTheme="minorEastAsia" w:cs="Times New Roman"/>
          <w:sz w:val="18"/>
          <w:szCs w:val="18"/>
        </w:rPr>
        <w:t> 218/2013/ND-CP</w:t>
      </w:r>
      <w:r w:rsidRPr="004A532F">
        <w:rPr>
          <w:rFonts w:asciiTheme="minorEastAsia" w:eastAsiaTheme="minorEastAsia" w:hAnsiTheme="minorEastAsia" w:hint="eastAsia"/>
          <w:sz w:val="18"/>
          <w:szCs w:val="18"/>
        </w:rPr>
        <w:t>补充条例的规定，对符合越南国家发展战略需求的制造工业支持产品的投资项目实行一定的企业所得税优惠激励措施。</w:t>
      </w:r>
      <w:r w:rsidRPr="004A532F">
        <w:rPr>
          <w:rFonts w:asciiTheme="minorEastAsia" w:eastAsiaTheme="minorEastAsia" w:hAnsiTheme="minorEastAsia" w:cs="Times New Roman"/>
          <w:sz w:val="18"/>
          <w:szCs w:val="18"/>
        </w:rPr>
        <w:t>2021</w:t>
      </w:r>
      <w:r w:rsidRPr="004A532F">
        <w:rPr>
          <w:rFonts w:asciiTheme="minorEastAsia" w:eastAsiaTheme="minorEastAsia" w:hAnsiTheme="minorEastAsia" w:hint="eastAsia"/>
          <w:sz w:val="18"/>
          <w:szCs w:val="18"/>
        </w:rPr>
        <w:t>年根据越南相关政策规定，越南顺道又获得政府部门批准的“四免九减半”企业所得税优惠政策，据此，按照新税收优惠政策，越南顺道</w:t>
      </w:r>
      <w:r w:rsidRPr="004A532F">
        <w:rPr>
          <w:rFonts w:asciiTheme="minorEastAsia" w:eastAsiaTheme="minorEastAsia" w:hAnsiTheme="minorEastAsia" w:cs="Times New Roman"/>
          <w:sz w:val="18"/>
          <w:szCs w:val="18"/>
        </w:rPr>
        <w:t>2024</w:t>
      </w:r>
      <w:r w:rsidRPr="004A532F">
        <w:rPr>
          <w:rFonts w:asciiTheme="minorEastAsia" w:eastAsiaTheme="minorEastAsia" w:hAnsiTheme="minorEastAsia" w:hint="eastAsia"/>
          <w:sz w:val="18"/>
          <w:szCs w:val="18"/>
        </w:rPr>
        <w:t>年免征纱线产品自产自销业务的企业所得税。</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t>5</w:t>
      </w:r>
      <w:r w:rsidRPr="004A532F">
        <w:rPr>
          <w:rFonts w:asciiTheme="minorEastAsia" w:eastAsiaTheme="minorEastAsia" w:hAnsiTheme="minorEastAsia" w:hint="eastAsia"/>
          <w:sz w:val="18"/>
          <w:szCs w:val="18"/>
        </w:rPr>
        <w:t>、根据《中华人民共和国企业所得税法》第二十七条第（一）项及《中华人民共和国企业所得税法实施条例》第二十七条第八十六条第一款之规定，通过轧花、剥绒等脱绒工序简单加工处理，制成的产品（皮棉、短绒、棉籽）的收入免征企业所得税。据此，本公司之子公司伽师棉业、岳普湖棉业、沙雅银花、库车纵横、华孚恒丰、石河子</w:t>
      </w:r>
      <w:proofErr w:type="gramStart"/>
      <w:r w:rsidRPr="004A532F">
        <w:rPr>
          <w:rFonts w:asciiTheme="minorEastAsia" w:eastAsiaTheme="minorEastAsia" w:hAnsiTheme="minorEastAsia" w:hint="eastAsia"/>
          <w:sz w:val="18"/>
          <w:szCs w:val="18"/>
        </w:rPr>
        <w:t>宏盛棉业</w:t>
      </w:r>
      <w:proofErr w:type="gramEnd"/>
      <w:r w:rsidRPr="004A532F">
        <w:rPr>
          <w:rFonts w:asciiTheme="minorEastAsia" w:eastAsiaTheme="minorEastAsia" w:hAnsiTheme="minorEastAsia" w:hint="eastAsia"/>
          <w:sz w:val="18"/>
          <w:szCs w:val="18"/>
        </w:rPr>
        <w:t>、</w:t>
      </w:r>
      <w:proofErr w:type="gramStart"/>
      <w:r w:rsidRPr="004A532F">
        <w:rPr>
          <w:rFonts w:asciiTheme="minorEastAsia" w:eastAsiaTheme="minorEastAsia" w:hAnsiTheme="minorEastAsia" w:hint="eastAsia"/>
          <w:sz w:val="18"/>
          <w:szCs w:val="18"/>
        </w:rPr>
        <w:t>胡杨河宏盛棉</w:t>
      </w:r>
      <w:proofErr w:type="gramEnd"/>
      <w:r w:rsidRPr="004A532F">
        <w:rPr>
          <w:rFonts w:asciiTheme="minorEastAsia" w:eastAsiaTheme="minorEastAsia" w:hAnsiTheme="minorEastAsia" w:hint="eastAsia"/>
          <w:sz w:val="18"/>
          <w:szCs w:val="18"/>
        </w:rPr>
        <w:t>业、石河子</w:t>
      </w:r>
      <w:proofErr w:type="gramStart"/>
      <w:r w:rsidRPr="004A532F">
        <w:rPr>
          <w:rFonts w:asciiTheme="minorEastAsia" w:eastAsiaTheme="minorEastAsia" w:hAnsiTheme="minorEastAsia" w:hint="eastAsia"/>
          <w:sz w:val="18"/>
          <w:szCs w:val="18"/>
        </w:rPr>
        <w:t>宏丰棉业</w:t>
      </w:r>
      <w:proofErr w:type="gramEnd"/>
      <w:r w:rsidRPr="004A532F">
        <w:rPr>
          <w:rFonts w:asciiTheme="minorEastAsia" w:eastAsiaTheme="minorEastAsia" w:hAnsiTheme="minorEastAsia" w:hint="eastAsia"/>
          <w:sz w:val="18"/>
          <w:szCs w:val="18"/>
        </w:rPr>
        <w:t>、</w:t>
      </w:r>
      <w:proofErr w:type="gramStart"/>
      <w:r w:rsidRPr="004A532F">
        <w:rPr>
          <w:rFonts w:asciiTheme="minorEastAsia" w:eastAsiaTheme="minorEastAsia" w:hAnsiTheme="minorEastAsia" w:hint="eastAsia"/>
          <w:sz w:val="18"/>
          <w:szCs w:val="18"/>
        </w:rPr>
        <w:t>泽孚棉花</w:t>
      </w:r>
      <w:proofErr w:type="gramEnd"/>
      <w:r w:rsidRPr="004A532F">
        <w:rPr>
          <w:rFonts w:asciiTheme="minorEastAsia" w:eastAsiaTheme="minorEastAsia" w:hAnsiTheme="minorEastAsia" w:hint="eastAsia"/>
          <w:sz w:val="18"/>
          <w:szCs w:val="18"/>
        </w:rPr>
        <w:t>、盛孚棉业、</w:t>
      </w:r>
      <w:r w:rsidRPr="004A532F">
        <w:rPr>
          <w:rFonts w:asciiTheme="minorEastAsia" w:eastAsiaTheme="minorEastAsia" w:hAnsiTheme="minorEastAsia" w:hint="eastAsia"/>
          <w:color w:val="333333"/>
          <w:sz w:val="18"/>
          <w:szCs w:val="18"/>
          <w:shd w:val="clear" w:color="auto" w:fill="FFFFFF"/>
        </w:rPr>
        <w:t>喀什</w:t>
      </w:r>
      <w:proofErr w:type="gramStart"/>
      <w:r w:rsidRPr="004A532F">
        <w:rPr>
          <w:rFonts w:asciiTheme="minorEastAsia" w:eastAsiaTheme="minorEastAsia" w:hAnsiTheme="minorEastAsia" w:hint="eastAsia"/>
          <w:color w:val="333333"/>
          <w:sz w:val="18"/>
          <w:szCs w:val="18"/>
          <w:shd w:val="clear" w:color="auto" w:fill="FFFFFF"/>
        </w:rPr>
        <w:t>暄</w:t>
      </w:r>
      <w:proofErr w:type="gramEnd"/>
      <w:r w:rsidRPr="004A532F">
        <w:rPr>
          <w:rFonts w:asciiTheme="minorEastAsia" w:eastAsiaTheme="minorEastAsia" w:hAnsiTheme="minorEastAsia" w:hint="eastAsia"/>
          <w:color w:val="333333"/>
          <w:sz w:val="18"/>
          <w:szCs w:val="18"/>
          <w:shd w:val="clear" w:color="auto" w:fill="FFFFFF"/>
        </w:rPr>
        <w:t>纺棉花</w:t>
      </w:r>
      <w:r w:rsidRPr="004A532F">
        <w:rPr>
          <w:rFonts w:asciiTheme="minorEastAsia" w:eastAsiaTheme="minorEastAsia" w:hAnsiTheme="minorEastAsia" w:hint="eastAsia"/>
          <w:sz w:val="18"/>
          <w:szCs w:val="18"/>
        </w:rPr>
        <w:t>免征企业所得税。</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t>6</w:t>
      </w:r>
      <w:r w:rsidRPr="004A532F">
        <w:rPr>
          <w:rFonts w:asciiTheme="minorEastAsia" w:eastAsiaTheme="minorEastAsia" w:hAnsiTheme="minorEastAsia" w:hint="eastAsia"/>
          <w:sz w:val="18"/>
          <w:szCs w:val="18"/>
        </w:rPr>
        <w:t>、根据</w:t>
      </w:r>
      <w:r w:rsidRPr="004A532F">
        <w:rPr>
          <w:rFonts w:asciiTheme="minorEastAsia" w:eastAsiaTheme="minorEastAsia" w:hAnsiTheme="minorEastAsia" w:cs="Times New Roman"/>
          <w:sz w:val="18"/>
          <w:szCs w:val="18"/>
        </w:rPr>
        <w:t>2022</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11</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28</w:t>
      </w:r>
      <w:r w:rsidRPr="004A532F">
        <w:rPr>
          <w:rFonts w:asciiTheme="minorEastAsia" w:eastAsiaTheme="minorEastAsia" w:hAnsiTheme="minorEastAsia" w:hint="eastAsia"/>
          <w:sz w:val="18"/>
          <w:szCs w:val="18"/>
        </w:rPr>
        <w:t>日新疆维吾尔自治区科学技术厅、新疆维吾尔自治区财政厅、国家税务总局新疆维吾尔自治区税务局联合颁发的证书编号</w:t>
      </w:r>
      <w:r w:rsidRPr="004A532F">
        <w:rPr>
          <w:rFonts w:asciiTheme="minorEastAsia" w:eastAsiaTheme="minorEastAsia" w:hAnsiTheme="minorEastAsia" w:cs="Times New Roman"/>
          <w:sz w:val="18"/>
          <w:szCs w:val="18"/>
        </w:rPr>
        <w:t>GR202265000504</w:t>
      </w:r>
      <w:r w:rsidRPr="004A532F">
        <w:rPr>
          <w:rFonts w:asciiTheme="minorEastAsia" w:eastAsiaTheme="minorEastAsia" w:hAnsiTheme="minorEastAsia" w:hint="eastAsia"/>
          <w:sz w:val="18"/>
          <w:szCs w:val="18"/>
        </w:rPr>
        <w:t>的《高新技术企业证书》，有效期为</w:t>
      </w:r>
      <w:r w:rsidRPr="004A532F">
        <w:rPr>
          <w:rFonts w:asciiTheme="minorEastAsia" w:eastAsiaTheme="minorEastAsia" w:hAnsiTheme="minorEastAsia" w:cs="Times New Roman"/>
          <w:sz w:val="18"/>
          <w:szCs w:val="18"/>
        </w:rPr>
        <w:t>3</w:t>
      </w:r>
      <w:r w:rsidRPr="004A532F">
        <w:rPr>
          <w:rFonts w:asciiTheme="minorEastAsia" w:eastAsiaTheme="minorEastAsia" w:hAnsiTheme="minorEastAsia" w:hint="eastAsia"/>
          <w:sz w:val="18"/>
          <w:szCs w:val="18"/>
        </w:rPr>
        <w:t>年。阿克苏</w:t>
      </w:r>
      <w:proofErr w:type="gramStart"/>
      <w:r w:rsidRPr="004A532F">
        <w:rPr>
          <w:rFonts w:asciiTheme="minorEastAsia" w:eastAsiaTheme="minorEastAsia" w:hAnsiTheme="minorEastAsia" w:hint="eastAsia"/>
          <w:sz w:val="18"/>
          <w:szCs w:val="18"/>
        </w:rPr>
        <w:t>标信自</w:t>
      </w:r>
      <w:proofErr w:type="gramEnd"/>
      <w:r w:rsidRPr="004A532F">
        <w:rPr>
          <w:rFonts w:asciiTheme="minorEastAsia" w:eastAsiaTheme="minorEastAsia" w:hAnsiTheme="minorEastAsia" w:cs="Times New Roman"/>
          <w:sz w:val="18"/>
          <w:szCs w:val="18"/>
        </w:rPr>
        <w:t>2022</w:t>
      </w:r>
      <w:r w:rsidRPr="004A532F">
        <w:rPr>
          <w:rFonts w:asciiTheme="minorEastAsia" w:eastAsiaTheme="minorEastAsia" w:hAnsiTheme="minorEastAsia" w:hint="eastAsia"/>
          <w:sz w:val="18"/>
          <w:szCs w:val="18"/>
        </w:rPr>
        <w:t>年度起享受高新技术企业税收优惠税率，即</w:t>
      </w:r>
      <w:r w:rsidRPr="004A532F">
        <w:rPr>
          <w:rFonts w:asciiTheme="minorEastAsia" w:eastAsiaTheme="minorEastAsia" w:hAnsiTheme="minorEastAsia" w:cs="Times New Roman"/>
          <w:sz w:val="18"/>
          <w:szCs w:val="18"/>
        </w:rPr>
        <w:t>2024</w:t>
      </w:r>
      <w:r w:rsidRPr="004A532F">
        <w:rPr>
          <w:rFonts w:asciiTheme="minorEastAsia" w:eastAsiaTheme="minorEastAsia" w:hAnsiTheme="minorEastAsia" w:hint="eastAsia"/>
          <w:sz w:val="18"/>
          <w:szCs w:val="18"/>
        </w:rPr>
        <w:t>年半年度享受</w:t>
      </w:r>
      <w:r w:rsidRPr="004A532F">
        <w:rPr>
          <w:rFonts w:asciiTheme="minorEastAsia" w:eastAsiaTheme="minorEastAsia" w:hAnsiTheme="minorEastAsia" w:cs="Times New Roman"/>
          <w:sz w:val="18"/>
          <w:szCs w:val="18"/>
        </w:rPr>
        <w:t>15%</w:t>
      </w:r>
      <w:r w:rsidRPr="004A532F">
        <w:rPr>
          <w:rFonts w:asciiTheme="minorEastAsia" w:eastAsiaTheme="minorEastAsia" w:hAnsiTheme="minorEastAsia" w:hint="eastAsia"/>
          <w:sz w:val="18"/>
          <w:szCs w:val="18"/>
        </w:rPr>
        <w:t>的企业所得税优惠税率。</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t>7</w:t>
      </w:r>
      <w:r w:rsidRPr="004A532F">
        <w:rPr>
          <w:rFonts w:asciiTheme="minorEastAsia" w:eastAsiaTheme="minorEastAsia" w:hAnsiTheme="minorEastAsia" w:hint="eastAsia"/>
          <w:sz w:val="18"/>
          <w:szCs w:val="18"/>
        </w:rPr>
        <w:t>、新加坡注册企业首</w:t>
      </w:r>
      <w:r w:rsidRPr="004A532F">
        <w:rPr>
          <w:rFonts w:asciiTheme="minorEastAsia" w:eastAsiaTheme="minorEastAsia" w:hAnsiTheme="minorEastAsia" w:cs="Times New Roman"/>
          <w:sz w:val="18"/>
          <w:szCs w:val="18"/>
        </w:rPr>
        <w:t>1</w:t>
      </w:r>
      <w:r w:rsidRPr="004A532F">
        <w:rPr>
          <w:rFonts w:asciiTheme="minorEastAsia" w:eastAsiaTheme="minorEastAsia" w:hAnsiTheme="minorEastAsia" w:hint="eastAsia"/>
          <w:sz w:val="18"/>
          <w:szCs w:val="18"/>
        </w:rPr>
        <w:t>万新币利润，减免税务</w:t>
      </w:r>
      <w:r w:rsidRPr="004A532F">
        <w:rPr>
          <w:rFonts w:asciiTheme="minorEastAsia" w:eastAsiaTheme="minorEastAsia" w:hAnsiTheme="minorEastAsia" w:cs="Times New Roman"/>
          <w:sz w:val="18"/>
          <w:szCs w:val="18"/>
        </w:rPr>
        <w:t>75%</w:t>
      </w:r>
      <w:r w:rsidRPr="004A532F">
        <w:rPr>
          <w:rFonts w:asciiTheme="minorEastAsia" w:eastAsiaTheme="minorEastAsia" w:hAnsiTheme="minorEastAsia" w:hint="eastAsia"/>
          <w:sz w:val="18"/>
          <w:szCs w:val="18"/>
        </w:rPr>
        <w:t>，税率为</w:t>
      </w:r>
      <w:r w:rsidRPr="004A532F">
        <w:rPr>
          <w:rFonts w:asciiTheme="minorEastAsia" w:eastAsiaTheme="minorEastAsia" w:hAnsiTheme="minorEastAsia" w:cs="Times New Roman"/>
          <w:sz w:val="18"/>
          <w:szCs w:val="18"/>
        </w:rPr>
        <w:t>4.25%</w:t>
      </w:r>
      <w:r w:rsidRPr="004A532F">
        <w:rPr>
          <w:rFonts w:asciiTheme="minorEastAsia" w:eastAsiaTheme="minorEastAsia" w:hAnsiTheme="minorEastAsia" w:hint="eastAsia"/>
          <w:sz w:val="18"/>
          <w:szCs w:val="18"/>
        </w:rPr>
        <w:t>；企业后续</w:t>
      </w:r>
      <w:r w:rsidRPr="004A532F">
        <w:rPr>
          <w:rFonts w:asciiTheme="minorEastAsia" w:eastAsiaTheme="minorEastAsia" w:hAnsiTheme="minorEastAsia" w:cs="Times New Roman"/>
          <w:sz w:val="18"/>
          <w:szCs w:val="18"/>
        </w:rPr>
        <w:t>19</w:t>
      </w:r>
      <w:r w:rsidRPr="004A532F">
        <w:rPr>
          <w:rFonts w:asciiTheme="minorEastAsia" w:eastAsiaTheme="minorEastAsia" w:hAnsiTheme="minorEastAsia" w:hint="eastAsia"/>
          <w:sz w:val="18"/>
          <w:szCs w:val="18"/>
        </w:rPr>
        <w:t>万新币利润，享有减免税务</w:t>
      </w:r>
      <w:r w:rsidRPr="004A532F">
        <w:rPr>
          <w:rFonts w:asciiTheme="minorEastAsia" w:eastAsiaTheme="minorEastAsia" w:hAnsiTheme="minorEastAsia" w:cs="Times New Roman"/>
          <w:sz w:val="18"/>
          <w:szCs w:val="18"/>
        </w:rPr>
        <w:t>50%</w:t>
      </w:r>
      <w:r w:rsidRPr="004A532F">
        <w:rPr>
          <w:rFonts w:asciiTheme="minorEastAsia" w:eastAsiaTheme="minorEastAsia" w:hAnsiTheme="minorEastAsia" w:hint="eastAsia"/>
          <w:sz w:val="18"/>
          <w:szCs w:val="18"/>
        </w:rPr>
        <w:t>；企业超出</w:t>
      </w:r>
      <w:r w:rsidRPr="004A532F">
        <w:rPr>
          <w:rFonts w:asciiTheme="minorEastAsia" w:eastAsiaTheme="minorEastAsia" w:hAnsiTheme="minorEastAsia" w:cs="Times New Roman"/>
          <w:sz w:val="18"/>
          <w:szCs w:val="18"/>
        </w:rPr>
        <w:t>20</w:t>
      </w:r>
      <w:r w:rsidRPr="004A532F">
        <w:rPr>
          <w:rFonts w:asciiTheme="minorEastAsia" w:eastAsiaTheme="minorEastAsia" w:hAnsiTheme="minorEastAsia" w:hint="eastAsia"/>
          <w:sz w:val="18"/>
          <w:szCs w:val="18"/>
        </w:rPr>
        <w:t>万新币的利润部分，按照</w:t>
      </w:r>
      <w:r w:rsidRPr="004A532F">
        <w:rPr>
          <w:rFonts w:asciiTheme="minorEastAsia" w:eastAsiaTheme="minorEastAsia" w:hAnsiTheme="minorEastAsia" w:cs="Times New Roman"/>
          <w:sz w:val="18"/>
          <w:szCs w:val="18"/>
        </w:rPr>
        <w:t>17%</w:t>
      </w:r>
      <w:r w:rsidRPr="004A532F">
        <w:rPr>
          <w:rFonts w:asciiTheme="minorEastAsia" w:eastAsiaTheme="minorEastAsia" w:hAnsiTheme="minorEastAsia" w:hint="eastAsia"/>
          <w:sz w:val="18"/>
          <w:szCs w:val="18"/>
        </w:rPr>
        <w:t>的税率正常征收。</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lastRenderedPageBreak/>
        <w:t>8</w:t>
      </w:r>
      <w:r w:rsidRPr="004A532F">
        <w:rPr>
          <w:rFonts w:asciiTheme="minorEastAsia" w:eastAsiaTheme="minorEastAsia" w:hAnsiTheme="minorEastAsia" w:hint="eastAsia"/>
          <w:sz w:val="18"/>
          <w:szCs w:val="18"/>
        </w:rPr>
        <w:t>、根据</w:t>
      </w:r>
      <w:r w:rsidRPr="004A532F">
        <w:rPr>
          <w:rFonts w:asciiTheme="minorEastAsia" w:eastAsiaTheme="minorEastAsia" w:hAnsiTheme="minorEastAsia" w:cs="Times New Roman"/>
          <w:sz w:val="18"/>
          <w:szCs w:val="18"/>
        </w:rPr>
        <w:t>2022</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12</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24</w:t>
      </w:r>
      <w:r w:rsidRPr="004A532F">
        <w:rPr>
          <w:rFonts w:asciiTheme="minorEastAsia" w:eastAsiaTheme="minorEastAsia" w:hAnsiTheme="minorEastAsia" w:hint="eastAsia"/>
          <w:sz w:val="18"/>
          <w:szCs w:val="18"/>
        </w:rPr>
        <w:t>日浙江省科学技术厅、浙江省财政厅、国家税务总局浙江省税务局联合颁发的证书编号</w:t>
      </w:r>
      <w:r w:rsidRPr="004A532F">
        <w:rPr>
          <w:rFonts w:asciiTheme="minorEastAsia" w:eastAsiaTheme="minorEastAsia" w:hAnsiTheme="minorEastAsia" w:cs="Times New Roman"/>
          <w:sz w:val="18"/>
          <w:szCs w:val="18"/>
        </w:rPr>
        <w:t>GR202233000592</w:t>
      </w:r>
      <w:r w:rsidRPr="004A532F">
        <w:rPr>
          <w:rFonts w:asciiTheme="minorEastAsia" w:eastAsiaTheme="minorEastAsia" w:hAnsiTheme="minorEastAsia" w:hint="eastAsia"/>
          <w:sz w:val="18"/>
          <w:szCs w:val="18"/>
        </w:rPr>
        <w:t>的《高新技术企业证书》，有效期为</w:t>
      </w:r>
      <w:r w:rsidRPr="004A532F">
        <w:rPr>
          <w:rFonts w:asciiTheme="minorEastAsia" w:eastAsiaTheme="minorEastAsia" w:hAnsiTheme="minorEastAsia" w:cs="Times New Roman"/>
          <w:sz w:val="18"/>
          <w:szCs w:val="18"/>
        </w:rPr>
        <w:t>3</w:t>
      </w:r>
      <w:r w:rsidRPr="004A532F">
        <w:rPr>
          <w:rFonts w:asciiTheme="minorEastAsia" w:eastAsiaTheme="minorEastAsia" w:hAnsiTheme="minorEastAsia" w:hint="eastAsia"/>
          <w:sz w:val="18"/>
          <w:szCs w:val="18"/>
        </w:rPr>
        <w:t>年。卡拉美拉自</w:t>
      </w:r>
      <w:r w:rsidRPr="004A532F">
        <w:rPr>
          <w:rFonts w:asciiTheme="minorEastAsia" w:eastAsiaTheme="minorEastAsia" w:hAnsiTheme="minorEastAsia" w:cs="Times New Roman"/>
          <w:sz w:val="18"/>
          <w:szCs w:val="18"/>
        </w:rPr>
        <w:t>2022</w:t>
      </w:r>
      <w:r w:rsidRPr="004A532F">
        <w:rPr>
          <w:rFonts w:asciiTheme="minorEastAsia" w:eastAsiaTheme="minorEastAsia" w:hAnsiTheme="minorEastAsia" w:hint="eastAsia"/>
          <w:sz w:val="18"/>
          <w:szCs w:val="18"/>
        </w:rPr>
        <w:t>年度起享受高新技术企业税收优惠税率，即</w:t>
      </w:r>
      <w:r w:rsidRPr="004A532F">
        <w:rPr>
          <w:rFonts w:asciiTheme="minorEastAsia" w:eastAsiaTheme="minorEastAsia" w:hAnsiTheme="minorEastAsia" w:cs="Times New Roman"/>
          <w:sz w:val="18"/>
          <w:szCs w:val="18"/>
        </w:rPr>
        <w:t>2024</w:t>
      </w:r>
      <w:r w:rsidRPr="004A532F">
        <w:rPr>
          <w:rFonts w:asciiTheme="minorEastAsia" w:eastAsiaTheme="minorEastAsia" w:hAnsiTheme="minorEastAsia" w:hint="eastAsia"/>
          <w:sz w:val="18"/>
          <w:szCs w:val="18"/>
        </w:rPr>
        <w:t>年半年度享受</w:t>
      </w:r>
      <w:r w:rsidRPr="004A532F">
        <w:rPr>
          <w:rFonts w:asciiTheme="minorEastAsia" w:eastAsiaTheme="minorEastAsia" w:hAnsiTheme="minorEastAsia" w:cs="Times New Roman"/>
          <w:sz w:val="18"/>
          <w:szCs w:val="18"/>
        </w:rPr>
        <w:t>15%</w:t>
      </w:r>
      <w:r w:rsidRPr="004A532F">
        <w:rPr>
          <w:rFonts w:asciiTheme="minorEastAsia" w:eastAsiaTheme="minorEastAsia" w:hAnsiTheme="minorEastAsia" w:hint="eastAsia"/>
          <w:sz w:val="18"/>
          <w:szCs w:val="18"/>
        </w:rPr>
        <w:t>的企业所得税优惠税率。</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t>9</w:t>
      </w:r>
      <w:r w:rsidRPr="004A532F">
        <w:rPr>
          <w:rFonts w:asciiTheme="minorEastAsia" w:eastAsiaTheme="minorEastAsia" w:hAnsiTheme="minorEastAsia" w:hint="eastAsia"/>
          <w:sz w:val="18"/>
          <w:szCs w:val="18"/>
        </w:rPr>
        <w:t>、根据《财政部</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税务总局关于进一步实施小微企业所得税优惠政策的公告》（财政部</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税务总局公告</w:t>
      </w:r>
      <w:r w:rsidRPr="004A532F">
        <w:rPr>
          <w:rFonts w:asciiTheme="minorEastAsia" w:eastAsiaTheme="minorEastAsia" w:hAnsiTheme="minorEastAsia" w:cs="Times New Roman"/>
          <w:sz w:val="18"/>
          <w:szCs w:val="18"/>
        </w:rPr>
        <w:t>2022</w:t>
      </w:r>
      <w:r w:rsidRPr="004A532F">
        <w:rPr>
          <w:rFonts w:asciiTheme="minorEastAsia" w:eastAsiaTheme="minorEastAsia" w:hAnsiTheme="minorEastAsia" w:hint="eastAsia"/>
          <w:sz w:val="18"/>
          <w:szCs w:val="18"/>
        </w:rPr>
        <w:t>年第</w:t>
      </w:r>
      <w:r w:rsidRPr="004A532F">
        <w:rPr>
          <w:rFonts w:asciiTheme="minorEastAsia" w:eastAsiaTheme="minorEastAsia" w:hAnsiTheme="minorEastAsia" w:cs="Times New Roman"/>
          <w:sz w:val="18"/>
          <w:szCs w:val="18"/>
        </w:rPr>
        <w:t>13</w:t>
      </w:r>
      <w:r w:rsidRPr="004A532F">
        <w:rPr>
          <w:rFonts w:asciiTheme="minorEastAsia" w:eastAsiaTheme="minorEastAsia" w:hAnsiTheme="minorEastAsia" w:hint="eastAsia"/>
          <w:sz w:val="18"/>
          <w:szCs w:val="18"/>
        </w:rPr>
        <w:t>号）、《财政部</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税务总局关于小微企业和个体工商户所得税优惠政策的公告》（财政部</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税务总局公告</w:t>
      </w:r>
      <w:r w:rsidRPr="004A532F">
        <w:rPr>
          <w:rFonts w:asciiTheme="minorEastAsia" w:eastAsiaTheme="minorEastAsia" w:hAnsiTheme="minorEastAsia" w:cs="Times New Roman"/>
          <w:sz w:val="18"/>
          <w:szCs w:val="18"/>
        </w:rPr>
        <w:t>2023</w:t>
      </w:r>
      <w:r w:rsidRPr="004A532F">
        <w:rPr>
          <w:rFonts w:asciiTheme="minorEastAsia" w:eastAsiaTheme="minorEastAsia" w:hAnsiTheme="minorEastAsia" w:hint="eastAsia"/>
          <w:sz w:val="18"/>
          <w:szCs w:val="18"/>
        </w:rPr>
        <w:t>年第</w:t>
      </w:r>
      <w:r w:rsidRPr="004A532F">
        <w:rPr>
          <w:rFonts w:asciiTheme="minorEastAsia" w:eastAsiaTheme="minorEastAsia" w:hAnsiTheme="minorEastAsia" w:cs="Times New Roman"/>
          <w:sz w:val="18"/>
          <w:szCs w:val="18"/>
        </w:rPr>
        <w:t>6</w:t>
      </w:r>
      <w:r w:rsidRPr="004A532F">
        <w:rPr>
          <w:rFonts w:asciiTheme="minorEastAsia" w:eastAsiaTheme="minorEastAsia" w:hAnsiTheme="minorEastAsia" w:hint="eastAsia"/>
          <w:sz w:val="18"/>
          <w:szCs w:val="18"/>
        </w:rPr>
        <w:t>号）、《财政部</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税务总局关于进一步支持小微企业和个体工商户发展有关税费政策的公告》（财政部</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税务总局公告</w:t>
      </w:r>
      <w:r w:rsidRPr="004A532F">
        <w:rPr>
          <w:rFonts w:asciiTheme="minorEastAsia" w:eastAsiaTheme="minorEastAsia" w:hAnsiTheme="minorEastAsia" w:cs="Times New Roman"/>
          <w:sz w:val="18"/>
          <w:szCs w:val="18"/>
        </w:rPr>
        <w:t>2023</w:t>
      </w:r>
      <w:r w:rsidRPr="004A532F">
        <w:rPr>
          <w:rFonts w:asciiTheme="minorEastAsia" w:eastAsiaTheme="minorEastAsia" w:hAnsiTheme="minorEastAsia" w:hint="eastAsia"/>
          <w:sz w:val="18"/>
          <w:szCs w:val="18"/>
        </w:rPr>
        <w:t>年第</w:t>
      </w:r>
      <w:r w:rsidRPr="004A532F">
        <w:rPr>
          <w:rFonts w:asciiTheme="minorEastAsia" w:eastAsiaTheme="minorEastAsia" w:hAnsiTheme="minorEastAsia" w:cs="Times New Roman"/>
          <w:sz w:val="18"/>
          <w:szCs w:val="18"/>
        </w:rPr>
        <w:t>12</w:t>
      </w:r>
      <w:r w:rsidRPr="004A532F">
        <w:rPr>
          <w:rFonts w:asciiTheme="minorEastAsia" w:eastAsiaTheme="minorEastAsia" w:hAnsiTheme="minorEastAsia" w:hint="eastAsia"/>
          <w:sz w:val="18"/>
          <w:szCs w:val="18"/>
        </w:rPr>
        <w:t>号</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）的规定，自</w:t>
      </w:r>
      <w:r w:rsidRPr="004A532F">
        <w:rPr>
          <w:rFonts w:asciiTheme="minorEastAsia" w:eastAsiaTheme="minorEastAsia" w:hAnsiTheme="minorEastAsia" w:cs="Times New Roman"/>
          <w:sz w:val="18"/>
          <w:szCs w:val="18"/>
        </w:rPr>
        <w:t>2022</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1</w:t>
      </w:r>
      <w:r w:rsidRPr="004A532F">
        <w:rPr>
          <w:rFonts w:asciiTheme="minorEastAsia" w:eastAsiaTheme="minorEastAsia" w:hAnsiTheme="minorEastAsia" w:hint="eastAsia"/>
          <w:sz w:val="18"/>
          <w:szCs w:val="18"/>
        </w:rPr>
        <w:t>日至</w:t>
      </w:r>
      <w:r w:rsidRPr="004A532F">
        <w:rPr>
          <w:rFonts w:asciiTheme="minorEastAsia" w:eastAsiaTheme="minorEastAsia" w:hAnsiTheme="minorEastAsia" w:cs="Times New Roman"/>
          <w:sz w:val="18"/>
          <w:szCs w:val="18"/>
        </w:rPr>
        <w:t>2024</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12</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31</w:t>
      </w:r>
      <w:r w:rsidRPr="004A532F">
        <w:rPr>
          <w:rFonts w:asciiTheme="minorEastAsia" w:eastAsiaTheme="minorEastAsia" w:hAnsiTheme="minorEastAsia" w:hint="eastAsia"/>
          <w:sz w:val="18"/>
          <w:szCs w:val="18"/>
        </w:rPr>
        <w:t>日，对小型微利企业年应纳税所得额超过</w:t>
      </w:r>
      <w:r w:rsidRPr="004A532F">
        <w:rPr>
          <w:rFonts w:asciiTheme="minorEastAsia" w:eastAsiaTheme="minorEastAsia" w:hAnsiTheme="minorEastAsia" w:cs="Times New Roman"/>
          <w:sz w:val="18"/>
          <w:szCs w:val="18"/>
        </w:rPr>
        <w:t>100</w:t>
      </w:r>
      <w:r w:rsidRPr="004A532F">
        <w:rPr>
          <w:rFonts w:asciiTheme="minorEastAsia" w:eastAsiaTheme="minorEastAsia" w:hAnsiTheme="minorEastAsia" w:hint="eastAsia"/>
          <w:sz w:val="18"/>
          <w:szCs w:val="18"/>
        </w:rPr>
        <w:t>万元但不超过</w:t>
      </w:r>
      <w:r w:rsidRPr="004A532F">
        <w:rPr>
          <w:rFonts w:asciiTheme="minorEastAsia" w:eastAsiaTheme="minorEastAsia" w:hAnsiTheme="minorEastAsia" w:cs="Times New Roman"/>
          <w:sz w:val="18"/>
          <w:szCs w:val="18"/>
        </w:rPr>
        <w:t>300</w:t>
      </w:r>
      <w:r w:rsidRPr="004A532F">
        <w:rPr>
          <w:rFonts w:asciiTheme="minorEastAsia" w:eastAsiaTheme="minorEastAsia" w:hAnsiTheme="minorEastAsia" w:hint="eastAsia"/>
          <w:sz w:val="18"/>
          <w:szCs w:val="18"/>
        </w:rPr>
        <w:t>万元的部分，减按</w:t>
      </w:r>
      <w:r w:rsidRPr="004A532F">
        <w:rPr>
          <w:rFonts w:asciiTheme="minorEastAsia" w:eastAsiaTheme="minorEastAsia" w:hAnsiTheme="minorEastAsia" w:cs="Times New Roman"/>
          <w:sz w:val="18"/>
          <w:szCs w:val="18"/>
        </w:rPr>
        <w:t>25%</w:t>
      </w:r>
      <w:r w:rsidRPr="004A532F">
        <w:rPr>
          <w:rFonts w:asciiTheme="minorEastAsia" w:eastAsiaTheme="minorEastAsia" w:hAnsiTheme="minorEastAsia" w:hint="eastAsia"/>
          <w:sz w:val="18"/>
          <w:szCs w:val="18"/>
        </w:rPr>
        <w:t>计入应纳税所得额，按</w:t>
      </w:r>
      <w:r w:rsidRPr="004A532F">
        <w:rPr>
          <w:rFonts w:asciiTheme="minorEastAsia" w:eastAsiaTheme="minorEastAsia" w:hAnsiTheme="minorEastAsia" w:cs="Times New Roman"/>
          <w:sz w:val="18"/>
          <w:szCs w:val="18"/>
        </w:rPr>
        <w:t>20%</w:t>
      </w:r>
      <w:r w:rsidRPr="004A532F">
        <w:rPr>
          <w:rFonts w:asciiTheme="minorEastAsia" w:eastAsiaTheme="minorEastAsia" w:hAnsiTheme="minorEastAsia" w:hint="eastAsia"/>
          <w:sz w:val="18"/>
          <w:szCs w:val="18"/>
        </w:rPr>
        <w:t>的税率缴纳企业所得税。自</w:t>
      </w:r>
      <w:r w:rsidRPr="004A532F">
        <w:rPr>
          <w:rFonts w:asciiTheme="minorEastAsia" w:eastAsiaTheme="minorEastAsia" w:hAnsiTheme="minorEastAsia" w:cs="Times New Roman"/>
          <w:sz w:val="18"/>
          <w:szCs w:val="18"/>
        </w:rPr>
        <w:t>2023</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1</w:t>
      </w:r>
      <w:r w:rsidRPr="004A532F">
        <w:rPr>
          <w:rFonts w:asciiTheme="minorEastAsia" w:eastAsiaTheme="minorEastAsia" w:hAnsiTheme="minorEastAsia" w:hint="eastAsia"/>
          <w:sz w:val="18"/>
          <w:szCs w:val="18"/>
        </w:rPr>
        <w:t>日至</w:t>
      </w:r>
      <w:r w:rsidRPr="004A532F">
        <w:rPr>
          <w:rFonts w:asciiTheme="minorEastAsia" w:eastAsiaTheme="minorEastAsia" w:hAnsiTheme="minorEastAsia" w:cs="Times New Roman"/>
          <w:sz w:val="18"/>
          <w:szCs w:val="18"/>
        </w:rPr>
        <w:t>2024</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12</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31</w:t>
      </w:r>
      <w:r w:rsidRPr="004A532F">
        <w:rPr>
          <w:rFonts w:asciiTheme="minorEastAsia" w:eastAsiaTheme="minorEastAsia" w:hAnsiTheme="minorEastAsia" w:hint="eastAsia"/>
          <w:sz w:val="18"/>
          <w:szCs w:val="18"/>
        </w:rPr>
        <w:t>日，对小型微利企业年应纳税所得额不超过</w:t>
      </w:r>
      <w:r w:rsidRPr="004A532F">
        <w:rPr>
          <w:rFonts w:asciiTheme="minorEastAsia" w:eastAsiaTheme="minorEastAsia" w:hAnsiTheme="minorEastAsia" w:cs="Times New Roman"/>
          <w:sz w:val="18"/>
          <w:szCs w:val="18"/>
        </w:rPr>
        <w:t>100</w:t>
      </w:r>
      <w:r w:rsidRPr="004A532F">
        <w:rPr>
          <w:rFonts w:asciiTheme="minorEastAsia" w:eastAsiaTheme="minorEastAsia" w:hAnsiTheme="minorEastAsia" w:hint="eastAsia"/>
          <w:sz w:val="18"/>
          <w:szCs w:val="18"/>
        </w:rPr>
        <w:t>万元的部分，减按</w:t>
      </w:r>
      <w:r w:rsidRPr="004A532F">
        <w:rPr>
          <w:rFonts w:asciiTheme="minorEastAsia" w:eastAsiaTheme="minorEastAsia" w:hAnsiTheme="minorEastAsia" w:cs="Times New Roman"/>
          <w:sz w:val="18"/>
          <w:szCs w:val="18"/>
        </w:rPr>
        <w:t>25%</w:t>
      </w:r>
      <w:r w:rsidRPr="004A532F">
        <w:rPr>
          <w:rFonts w:asciiTheme="minorEastAsia" w:eastAsiaTheme="minorEastAsia" w:hAnsiTheme="minorEastAsia" w:hint="eastAsia"/>
          <w:sz w:val="18"/>
          <w:szCs w:val="18"/>
        </w:rPr>
        <w:t>计入应纳税所得额，按</w:t>
      </w:r>
      <w:r w:rsidRPr="004A532F">
        <w:rPr>
          <w:rFonts w:asciiTheme="minorEastAsia" w:eastAsiaTheme="minorEastAsia" w:hAnsiTheme="minorEastAsia" w:cs="Times New Roman"/>
          <w:sz w:val="18"/>
          <w:szCs w:val="18"/>
        </w:rPr>
        <w:t>20%</w:t>
      </w:r>
      <w:r w:rsidRPr="004A532F">
        <w:rPr>
          <w:rFonts w:asciiTheme="minorEastAsia" w:eastAsiaTheme="minorEastAsia" w:hAnsiTheme="minorEastAsia" w:hint="eastAsia"/>
          <w:sz w:val="18"/>
          <w:szCs w:val="18"/>
        </w:rPr>
        <w:t>的税率缴纳企业所得税。对小型微利企业减按</w:t>
      </w:r>
      <w:r w:rsidRPr="004A532F">
        <w:rPr>
          <w:rFonts w:asciiTheme="minorEastAsia" w:eastAsiaTheme="minorEastAsia" w:hAnsiTheme="minorEastAsia" w:cs="Times New Roman"/>
          <w:sz w:val="18"/>
          <w:szCs w:val="18"/>
        </w:rPr>
        <w:t>25%</w:t>
      </w:r>
      <w:r w:rsidRPr="004A532F">
        <w:rPr>
          <w:rFonts w:asciiTheme="minorEastAsia" w:eastAsiaTheme="minorEastAsia" w:hAnsiTheme="minorEastAsia" w:hint="eastAsia"/>
          <w:sz w:val="18"/>
          <w:szCs w:val="18"/>
        </w:rPr>
        <w:t>计算应纳税所得额，按</w:t>
      </w:r>
      <w:r w:rsidRPr="004A532F">
        <w:rPr>
          <w:rFonts w:asciiTheme="minorEastAsia" w:eastAsiaTheme="minorEastAsia" w:hAnsiTheme="minorEastAsia" w:cs="Times New Roman"/>
          <w:sz w:val="18"/>
          <w:szCs w:val="18"/>
        </w:rPr>
        <w:t>20%</w:t>
      </w:r>
      <w:r w:rsidRPr="004A532F">
        <w:rPr>
          <w:rFonts w:asciiTheme="minorEastAsia" w:eastAsiaTheme="minorEastAsia" w:hAnsiTheme="minorEastAsia" w:hint="eastAsia"/>
          <w:sz w:val="18"/>
          <w:szCs w:val="18"/>
        </w:rPr>
        <w:t>的税率缴纳企业所得税政策，延续执行至</w:t>
      </w:r>
      <w:r w:rsidRPr="004A532F">
        <w:rPr>
          <w:rFonts w:asciiTheme="minorEastAsia" w:eastAsiaTheme="minorEastAsia" w:hAnsiTheme="minorEastAsia" w:cs="Times New Roman"/>
          <w:sz w:val="18"/>
          <w:szCs w:val="18"/>
        </w:rPr>
        <w:t>2027</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12</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31</w:t>
      </w:r>
      <w:r w:rsidRPr="004A532F">
        <w:rPr>
          <w:rFonts w:asciiTheme="minorEastAsia" w:eastAsiaTheme="minorEastAsia" w:hAnsiTheme="minorEastAsia" w:hint="eastAsia"/>
          <w:sz w:val="18"/>
          <w:szCs w:val="18"/>
        </w:rPr>
        <w:t>日。上海清澄、阿克苏新能源、江苏清澄、浙江阿大互联、上海华孚色纺、</w:t>
      </w:r>
      <w:proofErr w:type="gramStart"/>
      <w:r w:rsidRPr="004A532F">
        <w:rPr>
          <w:rFonts w:asciiTheme="minorEastAsia" w:eastAsiaTheme="minorEastAsia" w:hAnsiTheme="minorEastAsia" w:hint="eastAsia"/>
          <w:sz w:val="18"/>
          <w:szCs w:val="18"/>
        </w:rPr>
        <w:t>菁英电</w:t>
      </w:r>
      <w:proofErr w:type="gramEnd"/>
      <w:r w:rsidRPr="004A532F">
        <w:rPr>
          <w:rFonts w:asciiTheme="minorEastAsia" w:eastAsiaTheme="minorEastAsia" w:hAnsiTheme="minorEastAsia" w:hint="eastAsia"/>
          <w:sz w:val="18"/>
          <w:szCs w:val="18"/>
        </w:rPr>
        <w:t>商、</w:t>
      </w:r>
      <w:proofErr w:type="gramStart"/>
      <w:r w:rsidRPr="004A532F">
        <w:rPr>
          <w:rFonts w:asciiTheme="minorEastAsia" w:eastAsiaTheme="minorEastAsia" w:hAnsiTheme="minorEastAsia" w:hint="eastAsia"/>
          <w:sz w:val="18"/>
          <w:szCs w:val="18"/>
        </w:rPr>
        <w:t>菁</w:t>
      </w:r>
      <w:proofErr w:type="gramEnd"/>
      <w:r w:rsidRPr="004A532F">
        <w:rPr>
          <w:rFonts w:asciiTheme="minorEastAsia" w:eastAsiaTheme="minorEastAsia" w:hAnsiTheme="minorEastAsia" w:hint="eastAsia"/>
          <w:sz w:val="18"/>
          <w:szCs w:val="18"/>
        </w:rPr>
        <w:t>英创业、浙江名</w:t>
      </w:r>
      <w:proofErr w:type="gramStart"/>
      <w:r w:rsidRPr="004A532F">
        <w:rPr>
          <w:rFonts w:asciiTheme="minorEastAsia" w:eastAsiaTheme="minorEastAsia" w:hAnsiTheme="minorEastAsia" w:hint="eastAsia"/>
          <w:sz w:val="18"/>
          <w:szCs w:val="18"/>
        </w:rPr>
        <w:t>鲲</w:t>
      </w:r>
      <w:proofErr w:type="gramEnd"/>
      <w:r w:rsidRPr="004A532F">
        <w:rPr>
          <w:rFonts w:asciiTheme="minorEastAsia" w:eastAsiaTheme="minorEastAsia" w:hAnsiTheme="minorEastAsia" w:hint="eastAsia"/>
          <w:sz w:val="18"/>
          <w:szCs w:val="18"/>
        </w:rPr>
        <w:t>等子公司按照政策适用该税收优惠政策。</w:t>
      </w:r>
    </w:p>
    <w:p w:rsidR="00037019" w:rsidRDefault="00BE788E">
      <w:pPr>
        <w:pStyle w:val="3"/>
        <w:spacing w:line="280" w:lineRule="exact"/>
        <w:jc w:val="left"/>
        <w:rPr>
          <w:rFonts w:ascii="宋体" w:hAnsi="宋体" w:cs="宋体"/>
          <w:b/>
          <w:bCs/>
        </w:rPr>
      </w:pPr>
      <w:bookmarkStart w:id="77" w:name="_Toc989067"/>
      <w:r>
        <w:rPr>
          <w:rFonts w:ascii="宋体" w:hAnsi="宋体" w:cs="宋体"/>
          <w:b/>
          <w:bCs/>
        </w:rPr>
        <w:t>3、其他</w:t>
      </w:r>
      <w:bookmarkEnd w:id="77"/>
    </w:p>
    <w:p w:rsidR="00BE788E" w:rsidRDefault="00BE788E">
      <w:pPr>
        <w:pStyle w:val="a3"/>
        <w:divId w:val="1244099998"/>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78" w:name="_Toc989068"/>
      <w:r>
        <w:rPr>
          <w:rFonts w:ascii="宋体" w:eastAsia="宋体" w:hAnsi="宋体" w:cs="宋体"/>
          <w:b/>
          <w:bCs/>
          <w:sz w:val="24"/>
          <w:szCs w:val="24"/>
        </w:rPr>
        <w:t>七、合并财务报表项目注释</w:t>
      </w:r>
      <w:bookmarkEnd w:id="78"/>
    </w:p>
    <w:p w:rsidR="00037019" w:rsidRDefault="00BE788E">
      <w:pPr>
        <w:pStyle w:val="3"/>
        <w:spacing w:line="280" w:lineRule="exact"/>
        <w:jc w:val="left"/>
        <w:rPr>
          <w:rFonts w:ascii="宋体" w:hAnsi="宋体" w:cs="宋体"/>
          <w:b/>
          <w:bCs/>
        </w:rPr>
      </w:pPr>
      <w:bookmarkStart w:id="79" w:name="_Toc989069"/>
      <w:r>
        <w:rPr>
          <w:rFonts w:ascii="宋体" w:hAnsi="宋体" w:cs="宋体"/>
          <w:b/>
          <w:bCs/>
        </w:rPr>
        <w:t>1、货币资金</w:t>
      </w:r>
      <w:bookmarkEnd w:id="7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库存现金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1,512,065.48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70,994.31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银行存款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1,394,708,080.32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1,837,036,749.85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2,360,331,856.38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799,515,306.11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3,756,552,002.18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2,636,623,050.27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其中：存放在境外的款项总额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182,866,524.94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522,615,932.32</w:t>
            </w:r>
          </w:p>
        </w:tc>
      </w:tr>
    </w:tbl>
    <w:p w:rsidR="00BE788E" w:rsidRDefault="00BE788E">
      <w:pPr>
        <w:pStyle w:val="a3"/>
        <w:divId w:val="214320391"/>
        <w:rPr>
          <w:sz w:val="18"/>
          <w:szCs w:val="18"/>
        </w:rPr>
      </w:pPr>
      <w:r>
        <w:rPr>
          <w:rFonts w:hint="eastAsia"/>
          <w:sz w:val="18"/>
          <w:szCs w:val="18"/>
        </w:rPr>
        <w:t>其中受限制的货币资金明细如下：</w:t>
      </w:r>
    </w:p>
    <w:p w:rsidR="004A532F" w:rsidRDefault="004A532F" w:rsidP="002747D2">
      <w:pPr>
        <w:pStyle w:val="a3"/>
        <w:spacing w:before="0" w:beforeAutospacing="0" w:after="0" w:afterAutospacing="0"/>
        <w:jc w:val="right"/>
        <w:divId w:val="214320391"/>
        <w:rPr>
          <w:sz w:val="18"/>
          <w:szCs w:val="18"/>
        </w:rPr>
      </w:pPr>
      <w:r>
        <w:rPr>
          <w:rFonts w:hint="eastAsia"/>
          <w:sz w:val="18"/>
          <w:szCs w:val="18"/>
        </w:rPr>
        <w:t>单位：元</w:t>
      </w:r>
    </w:p>
    <w:tbl>
      <w:tblPr>
        <w:tblW w:w="9640" w:type="dxa"/>
        <w:tblInd w:w="-127" w:type="dxa"/>
        <w:tblCellMar>
          <w:left w:w="0" w:type="dxa"/>
          <w:right w:w="0" w:type="dxa"/>
        </w:tblCellMar>
        <w:tblLook w:val="04A0" w:firstRow="1" w:lastRow="0" w:firstColumn="1" w:lastColumn="0" w:noHBand="0" w:noVBand="1"/>
      </w:tblPr>
      <w:tblGrid>
        <w:gridCol w:w="3261"/>
        <w:gridCol w:w="3189"/>
        <w:gridCol w:w="3190"/>
      </w:tblGrid>
      <w:tr w:rsidR="00BE788E" w:rsidRPr="004A532F" w:rsidTr="002747D2">
        <w:trPr>
          <w:divId w:val="214320391"/>
          <w:trHeight w:val="342"/>
        </w:trPr>
        <w:tc>
          <w:tcPr>
            <w:tcW w:w="3261"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center"/>
              <w:rPr>
                <w:rFonts w:asciiTheme="minorEastAsia" w:hAnsiTheme="minorEastAsia" w:cs="宋体"/>
                <w:color w:val="000000"/>
                <w:sz w:val="18"/>
                <w:szCs w:val="18"/>
              </w:rPr>
            </w:pPr>
            <w:r w:rsidRPr="004A532F">
              <w:rPr>
                <w:rFonts w:asciiTheme="minorEastAsia" w:hAnsiTheme="minorEastAsia" w:hint="eastAsia"/>
                <w:color w:val="000000"/>
                <w:sz w:val="18"/>
                <w:szCs w:val="18"/>
              </w:rPr>
              <w:t> 项目 </w:t>
            </w:r>
          </w:p>
        </w:tc>
        <w:tc>
          <w:tcPr>
            <w:tcW w:w="3189" w:type="dxa"/>
            <w:tcBorders>
              <w:top w:val="single" w:sz="8" w:space="0" w:color="auto"/>
              <w:left w:val="nil"/>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center"/>
              <w:rPr>
                <w:rFonts w:asciiTheme="minorEastAsia" w:hAnsiTheme="minorEastAsia" w:cs="宋体"/>
                <w:color w:val="000000"/>
                <w:sz w:val="18"/>
                <w:szCs w:val="18"/>
              </w:rPr>
            </w:pPr>
            <w:r w:rsidRPr="004A532F">
              <w:rPr>
                <w:rFonts w:asciiTheme="minorEastAsia" w:hAnsiTheme="minorEastAsia" w:hint="eastAsia"/>
                <w:color w:val="000000"/>
                <w:sz w:val="18"/>
                <w:szCs w:val="18"/>
              </w:rPr>
              <w:t> 期末余额 </w:t>
            </w:r>
          </w:p>
        </w:tc>
        <w:tc>
          <w:tcPr>
            <w:tcW w:w="3190" w:type="dxa"/>
            <w:tcBorders>
              <w:top w:val="single" w:sz="8" w:space="0" w:color="auto"/>
              <w:left w:val="nil"/>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center"/>
              <w:rPr>
                <w:rFonts w:asciiTheme="minorEastAsia" w:hAnsiTheme="minorEastAsia" w:cs="宋体"/>
                <w:color w:val="000000"/>
                <w:sz w:val="18"/>
                <w:szCs w:val="18"/>
              </w:rPr>
            </w:pPr>
            <w:r w:rsidRPr="004A532F">
              <w:rPr>
                <w:rFonts w:asciiTheme="minorEastAsia" w:hAnsiTheme="minorEastAsia" w:hint="eastAsia"/>
                <w:color w:val="000000"/>
                <w:sz w:val="18"/>
                <w:szCs w:val="18"/>
              </w:rPr>
              <w:t> 期初余额 </w:t>
            </w:r>
          </w:p>
        </w:tc>
      </w:tr>
      <w:tr w:rsidR="00BE788E" w:rsidRPr="004A532F" w:rsidTr="002747D2">
        <w:trPr>
          <w:divId w:val="214320391"/>
          <w:trHeight w:val="327"/>
        </w:trPr>
        <w:tc>
          <w:tcPr>
            <w:tcW w:w="3261"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both"/>
              <w:rPr>
                <w:rFonts w:asciiTheme="minorEastAsia" w:hAnsiTheme="minorEastAsia" w:cs="宋体"/>
                <w:color w:val="000000"/>
                <w:sz w:val="18"/>
                <w:szCs w:val="18"/>
              </w:rPr>
            </w:pPr>
            <w:r w:rsidRPr="004A532F">
              <w:rPr>
                <w:rFonts w:asciiTheme="minorEastAsia" w:hAnsiTheme="minorEastAsia" w:hint="eastAsia"/>
                <w:color w:val="000000"/>
                <w:sz w:val="18"/>
                <w:szCs w:val="18"/>
              </w:rPr>
              <w:t> 银行承兑汇票保证金 </w:t>
            </w:r>
          </w:p>
        </w:tc>
        <w:tc>
          <w:tcPr>
            <w:tcW w:w="3189"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1,991,691,972.69 </w:t>
            </w:r>
          </w:p>
        </w:tc>
        <w:tc>
          <w:tcPr>
            <w:tcW w:w="3190"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234,108,377.35 </w:t>
            </w:r>
          </w:p>
        </w:tc>
      </w:tr>
      <w:tr w:rsidR="00BE788E" w:rsidRPr="004A532F" w:rsidTr="002747D2">
        <w:trPr>
          <w:divId w:val="214320391"/>
          <w:trHeight w:val="312"/>
        </w:trPr>
        <w:tc>
          <w:tcPr>
            <w:tcW w:w="3261"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both"/>
              <w:rPr>
                <w:rFonts w:asciiTheme="minorEastAsia" w:hAnsiTheme="minorEastAsia" w:cs="宋体"/>
                <w:color w:val="000000"/>
                <w:sz w:val="18"/>
                <w:szCs w:val="18"/>
              </w:rPr>
            </w:pPr>
            <w:r w:rsidRPr="004A532F">
              <w:rPr>
                <w:rFonts w:asciiTheme="minorEastAsia" w:hAnsiTheme="minorEastAsia" w:hint="eastAsia"/>
                <w:color w:val="000000"/>
                <w:sz w:val="18"/>
                <w:szCs w:val="18"/>
              </w:rPr>
              <w:t> 信用证保证金 </w:t>
            </w:r>
          </w:p>
        </w:tc>
        <w:tc>
          <w:tcPr>
            <w:tcW w:w="3189"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89,500,000.00 </w:t>
            </w:r>
          </w:p>
        </w:tc>
        <w:tc>
          <w:tcPr>
            <w:tcW w:w="3190"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131,300,000.00 </w:t>
            </w:r>
          </w:p>
        </w:tc>
      </w:tr>
      <w:tr w:rsidR="00BE788E" w:rsidRPr="004A532F" w:rsidTr="002747D2">
        <w:trPr>
          <w:divId w:val="214320391"/>
          <w:trHeight w:val="312"/>
        </w:trPr>
        <w:tc>
          <w:tcPr>
            <w:tcW w:w="3261"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both"/>
              <w:rPr>
                <w:rFonts w:asciiTheme="minorEastAsia" w:hAnsiTheme="minorEastAsia" w:cs="宋体"/>
                <w:color w:val="000000"/>
                <w:sz w:val="18"/>
                <w:szCs w:val="18"/>
              </w:rPr>
            </w:pPr>
            <w:r w:rsidRPr="004A532F">
              <w:rPr>
                <w:rFonts w:asciiTheme="minorEastAsia" w:hAnsiTheme="minorEastAsia" w:hint="eastAsia"/>
                <w:color w:val="000000"/>
                <w:sz w:val="18"/>
                <w:szCs w:val="18"/>
              </w:rPr>
              <w:t> 质押保证金 </w:t>
            </w:r>
          </w:p>
        </w:tc>
        <w:tc>
          <w:tcPr>
            <w:tcW w:w="3189"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57,673,832.30 </w:t>
            </w:r>
          </w:p>
        </w:tc>
        <w:tc>
          <w:tcPr>
            <w:tcW w:w="3190"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83,667,307.73 </w:t>
            </w:r>
          </w:p>
        </w:tc>
      </w:tr>
      <w:tr w:rsidR="00BE788E" w:rsidRPr="004A532F" w:rsidTr="002747D2">
        <w:trPr>
          <w:divId w:val="214320391"/>
          <w:trHeight w:val="312"/>
        </w:trPr>
        <w:tc>
          <w:tcPr>
            <w:tcW w:w="3261"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both"/>
              <w:rPr>
                <w:rFonts w:asciiTheme="minorEastAsia" w:hAnsiTheme="minorEastAsia" w:cs="宋体"/>
                <w:color w:val="000000"/>
                <w:sz w:val="18"/>
                <w:szCs w:val="18"/>
              </w:rPr>
            </w:pPr>
            <w:r w:rsidRPr="004A532F">
              <w:rPr>
                <w:rFonts w:asciiTheme="minorEastAsia" w:hAnsiTheme="minorEastAsia" w:hint="eastAsia"/>
                <w:color w:val="000000"/>
                <w:sz w:val="18"/>
                <w:szCs w:val="18"/>
              </w:rPr>
              <w:t> 其他使用受限 </w:t>
            </w:r>
          </w:p>
        </w:tc>
        <w:tc>
          <w:tcPr>
            <w:tcW w:w="3189"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12,358.40 </w:t>
            </w:r>
          </w:p>
        </w:tc>
        <w:tc>
          <w:tcPr>
            <w:tcW w:w="3190"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244,070.59 </w:t>
            </w:r>
          </w:p>
        </w:tc>
      </w:tr>
      <w:tr w:rsidR="00BE788E" w:rsidRPr="004A532F" w:rsidTr="002747D2">
        <w:trPr>
          <w:divId w:val="214320391"/>
          <w:trHeight w:val="312"/>
        </w:trPr>
        <w:tc>
          <w:tcPr>
            <w:tcW w:w="3261"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both"/>
              <w:rPr>
                <w:rFonts w:asciiTheme="minorEastAsia" w:hAnsiTheme="minorEastAsia" w:cs="宋体"/>
                <w:color w:val="000000"/>
                <w:sz w:val="18"/>
                <w:szCs w:val="18"/>
              </w:rPr>
            </w:pPr>
            <w:r w:rsidRPr="004A532F">
              <w:rPr>
                <w:rFonts w:asciiTheme="minorEastAsia" w:hAnsiTheme="minorEastAsia" w:hint="eastAsia"/>
                <w:color w:val="000000"/>
                <w:sz w:val="18"/>
                <w:szCs w:val="18"/>
              </w:rPr>
              <w:t> 公积金中心托管维修基金账户 </w:t>
            </w:r>
          </w:p>
        </w:tc>
        <w:tc>
          <w:tcPr>
            <w:tcW w:w="3189"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2,480,320.43 </w:t>
            </w:r>
          </w:p>
        </w:tc>
        <w:tc>
          <w:tcPr>
            <w:tcW w:w="3190"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2,480,320.43 </w:t>
            </w:r>
          </w:p>
        </w:tc>
      </w:tr>
      <w:tr w:rsidR="00BE788E" w:rsidRPr="004A532F" w:rsidTr="002747D2">
        <w:trPr>
          <w:divId w:val="214320391"/>
          <w:trHeight w:val="327"/>
        </w:trPr>
        <w:tc>
          <w:tcPr>
            <w:tcW w:w="3261"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rsidP="002747D2">
            <w:pPr>
              <w:rPr>
                <w:rFonts w:asciiTheme="minorEastAsia" w:hAnsiTheme="minorEastAsia" w:cs="宋体"/>
                <w:color w:val="000000"/>
                <w:sz w:val="18"/>
                <w:szCs w:val="18"/>
              </w:rPr>
            </w:pPr>
            <w:r w:rsidRPr="004A532F">
              <w:rPr>
                <w:rFonts w:asciiTheme="minorEastAsia" w:hAnsiTheme="minorEastAsia" w:hint="eastAsia"/>
                <w:color w:val="000000"/>
                <w:sz w:val="18"/>
                <w:szCs w:val="18"/>
              </w:rPr>
              <w:t> 合计 </w:t>
            </w:r>
          </w:p>
        </w:tc>
        <w:tc>
          <w:tcPr>
            <w:tcW w:w="3189"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2,141,358,483.82 </w:t>
            </w:r>
          </w:p>
        </w:tc>
        <w:tc>
          <w:tcPr>
            <w:tcW w:w="3190"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451,800,076.10 </w:t>
            </w:r>
          </w:p>
        </w:tc>
      </w:tr>
    </w:tbl>
    <w:p w:rsidR="00037019" w:rsidRDefault="00BE788E">
      <w:pPr>
        <w:pStyle w:val="3"/>
        <w:spacing w:line="280" w:lineRule="exact"/>
        <w:jc w:val="left"/>
        <w:rPr>
          <w:rFonts w:ascii="宋体" w:hAnsi="宋体" w:cs="宋体"/>
          <w:b/>
          <w:bCs/>
        </w:rPr>
      </w:pPr>
      <w:bookmarkStart w:id="80" w:name="_Toc989070"/>
      <w:r>
        <w:rPr>
          <w:rFonts w:ascii="宋体" w:hAnsi="宋体" w:cs="宋体"/>
          <w:b/>
          <w:bCs/>
        </w:rPr>
        <w:t>2、交易性金融资产</w:t>
      </w:r>
      <w:bookmarkEnd w:id="8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以公允价值计量且其变动计入当期损益的金融资产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231,495,851.11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231,633,768.94</w:t>
            </w:r>
          </w:p>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392,601.34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50,392,601.34</w:t>
            </w:r>
          </w:p>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126,297,371.81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121,648,424.05</w:t>
            </w:r>
          </w:p>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理财产品</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104,805,877.96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59,592,743.55</w:t>
            </w:r>
          </w:p>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指定以公允价值计量且其变动计入当期损益的金融资产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231,495,851.11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231,633,768.94</w:t>
            </w:r>
          </w:p>
        </w:tc>
      </w:tr>
    </w:tbl>
    <w:p w:rsidR="00037019" w:rsidRDefault="00BE788E" w:rsidP="002747D2">
      <w:pPr>
        <w:rPr>
          <w:rFonts w:ascii="宋体" w:eastAsia="宋体" w:hAnsi="宋体" w:cs="宋体"/>
          <w:sz w:val="18"/>
          <w:szCs w:val="18"/>
        </w:rPr>
      </w:pPr>
      <w:r>
        <w:rPr>
          <w:rFonts w:ascii="宋体" w:eastAsia="宋体" w:hAnsi="宋体" w:cs="宋体"/>
          <w:sz w:val="18"/>
          <w:szCs w:val="18"/>
        </w:rPr>
        <w:t>其他说明</w:t>
      </w:r>
      <w:r w:rsidR="002747D2">
        <w:rPr>
          <w:rFonts w:ascii="宋体" w:eastAsia="宋体" w:hAnsi="宋体" w:cs="宋体"/>
          <w:sz w:val="18"/>
          <w:szCs w:val="18"/>
        </w:rPr>
        <w:t>：</w:t>
      </w:r>
    </w:p>
    <w:p w:rsidR="00BE788E" w:rsidRDefault="00BE788E" w:rsidP="002747D2">
      <w:pPr>
        <w:pStyle w:val="a3"/>
        <w:spacing w:before="0" w:beforeAutospacing="0" w:after="0" w:afterAutospacing="0"/>
        <w:divId w:val="997880402"/>
        <w:rPr>
          <w:sz w:val="18"/>
          <w:szCs w:val="18"/>
        </w:rPr>
      </w:pPr>
      <w:r>
        <w:rPr>
          <w:rFonts w:hint="eastAsia"/>
          <w:sz w:val="18"/>
          <w:szCs w:val="18"/>
        </w:rPr>
        <w:t>1.期末衍生金融资产系子公司宁波东</w:t>
      </w:r>
      <w:proofErr w:type="gramStart"/>
      <w:r>
        <w:rPr>
          <w:rFonts w:hint="eastAsia"/>
          <w:sz w:val="18"/>
          <w:szCs w:val="18"/>
        </w:rPr>
        <w:t>浩</w:t>
      </w:r>
      <w:proofErr w:type="gramEnd"/>
      <w:r>
        <w:rPr>
          <w:rFonts w:hint="eastAsia"/>
          <w:sz w:val="18"/>
          <w:szCs w:val="18"/>
        </w:rPr>
        <w:t>、浙江维新、浙江昇孚、香港天成、新疆棉花交易市场、新疆华孚棉业、新加坡耀佳等公司购买棉花期货和期权等套期保值工具。</w:t>
      </w:r>
    </w:p>
    <w:p w:rsidR="00BE788E" w:rsidRDefault="00BE788E" w:rsidP="002747D2">
      <w:pPr>
        <w:pStyle w:val="a3"/>
        <w:spacing w:before="0" w:beforeAutospacing="0" w:after="0" w:afterAutospacing="0"/>
        <w:divId w:val="997880402"/>
        <w:rPr>
          <w:sz w:val="18"/>
          <w:szCs w:val="18"/>
        </w:rPr>
      </w:pPr>
      <w:r>
        <w:rPr>
          <w:rFonts w:hint="eastAsia"/>
          <w:sz w:val="18"/>
          <w:szCs w:val="18"/>
        </w:rPr>
        <w:t>2.理财产品中有5000万元人民币为华孚时尚向中国对外经济贸易信托有限公司认购的外贸信托-长阳1号集合资金信托计划基金份额，截止2024年6月30日持有份额的公允价值为42,127,227.04元。</w:t>
      </w:r>
    </w:p>
    <w:p w:rsidR="00037019" w:rsidRDefault="00BE788E">
      <w:pPr>
        <w:pStyle w:val="3"/>
        <w:spacing w:line="280" w:lineRule="exact"/>
        <w:jc w:val="left"/>
        <w:rPr>
          <w:rFonts w:ascii="宋体" w:hAnsi="宋体" w:cs="宋体"/>
          <w:b/>
          <w:bCs/>
        </w:rPr>
      </w:pPr>
      <w:bookmarkStart w:id="81" w:name="_Toc989071"/>
      <w:r>
        <w:rPr>
          <w:rFonts w:ascii="宋体" w:hAnsi="宋体" w:cs="宋体"/>
          <w:b/>
          <w:bCs/>
        </w:rPr>
        <w:t>3、衍生金融资产</w:t>
      </w:r>
      <w:bookmarkEnd w:id="8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BE788E" w:rsidRDefault="00BE788E">
      <w:pPr>
        <w:pStyle w:val="a3"/>
        <w:divId w:val="1735083819"/>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82" w:name="_Toc989072"/>
      <w:r>
        <w:rPr>
          <w:rFonts w:ascii="宋体" w:hAnsi="宋体" w:cs="宋体"/>
          <w:b/>
          <w:bCs/>
        </w:rPr>
        <w:t>4、应收票据</w:t>
      </w:r>
      <w:bookmarkEnd w:id="82"/>
    </w:p>
    <w:p w:rsidR="00037019" w:rsidRDefault="00BE788E">
      <w:pPr>
        <w:keepNext/>
        <w:keepLines/>
        <w:spacing w:before="300" w:after="300" w:line="280" w:lineRule="exact"/>
        <w:outlineLvl w:val="3"/>
        <w:rPr>
          <w:rFonts w:ascii="宋体" w:eastAsia="宋体" w:hAnsi="宋体" w:cs="宋体"/>
          <w:b/>
          <w:bCs/>
          <w:szCs w:val="21"/>
        </w:rPr>
      </w:pPr>
      <w:bookmarkStart w:id="83" w:name="_Toc989073"/>
      <w:r>
        <w:rPr>
          <w:rFonts w:ascii="宋体" w:eastAsia="宋体" w:hAnsi="宋体" w:cs="宋体"/>
          <w:b/>
          <w:bCs/>
          <w:szCs w:val="21"/>
        </w:rPr>
        <w:t>（1） 应收票据分类列示</w:t>
      </w:r>
      <w:bookmarkEnd w:id="8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91CA9">
            <w:pPr>
              <w:spacing w:line="240" w:lineRule="exact"/>
              <w:jc w:val="right"/>
              <w:rPr>
                <w:rFonts w:ascii="宋体" w:eastAsia="宋体" w:hAnsi="宋体" w:cs="宋体"/>
                <w:sz w:val="18"/>
                <w:szCs w:val="18"/>
              </w:rPr>
            </w:pPr>
            <w:r w:rsidRPr="00091CA9">
              <w:rPr>
                <w:rFonts w:ascii="宋体" w:eastAsia="宋体" w:hAnsi="宋体" w:cs="宋体"/>
                <w:sz w:val="18"/>
                <w:szCs w:val="18"/>
              </w:rPr>
              <w:t>113,689,949.85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55,925,038.92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商业承兑票据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91CA9">
            <w:pPr>
              <w:spacing w:line="240" w:lineRule="exact"/>
              <w:jc w:val="right"/>
              <w:rPr>
                <w:rFonts w:ascii="宋体" w:eastAsia="宋体" w:hAnsi="宋体" w:cs="宋体"/>
                <w:sz w:val="18"/>
                <w:szCs w:val="18"/>
              </w:rPr>
            </w:pPr>
            <w:r w:rsidRPr="00091CA9">
              <w:rPr>
                <w:rFonts w:ascii="宋体" w:eastAsia="宋体" w:hAnsi="宋体" w:cs="宋体"/>
                <w:sz w:val="18"/>
                <w:szCs w:val="18"/>
              </w:rPr>
              <w:t>12,979,786.48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1,976,793.31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126,669,736.33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57,901,832.23</w:t>
            </w:r>
          </w:p>
        </w:tc>
      </w:tr>
    </w:tbl>
    <w:p w:rsidR="00037019" w:rsidRDefault="00BE788E">
      <w:pPr>
        <w:keepNext/>
        <w:keepLines/>
        <w:spacing w:before="300" w:after="300" w:line="280" w:lineRule="exact"/>
        <w:outlineLvl w:val="3"/>
        <w:rPr>
          <w:rFonts w:ascii="宋体" w:eastAsia="宋体" w:hAnsi="宋体" w:cs="宋体"/>
          <w:b/>
          <w:bCs/>
          <w:szCs w:val="21"/>
        </w:rPr>
      </w:pPr>
      <w:bookmarkStart w:id="84" w:name="_Toc989074"/>
      <w:r>
        <w:rPr>
          <w:rFonts w:ascii="宋体" w:eastAsia="宋体" w:hAnsi="宋体" w:cs="宋体"/>
          <w:b/>
          <w:bCs/>
          <w:szCs w:val="21"/>
        </w:rPr>
        <w:t>（2） 按坏账计提方法分类披露</w:t>
      </w:r>
      <w:bookmarkEnd w:id="8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37019">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按组合计提坏账准备的应收票据</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127,352,882.99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126,669,736.33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58,005,873.98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57,901,832.23</w:t>
            </w:r>
          </w:p>
        </w:tc>
      </w:tr>
      <w:tr w:rsidR="00037019" w:rsidTr="002747D2">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2747D2">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其中：银行承兑汇票组合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113,689,949.85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89.27%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113,689,949.85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55,925,038.92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96.41%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55,925,038.92</w:t>
            </w:r>
          </w:p>
        </w:tc>
      </w:tr>
      <w:tr w:rsidR="00037019" w:rsidTr="002747D2">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13,662,933.14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12,979,786.48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2,080,835.06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1,976,793.31</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127,352,882.99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126,669,736.33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58,005,873.98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57,901,832.23</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按组合计提坏账准备类别名称：</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D3D3D3"/>
        <w:tblLayout w:type="fixed"/>
        <w:tblLook w:val="04A0" w:firstRow="1" w:lastRow="0" w:firstColumn="1" w:lastColumn="0" w:noHBand="0" w:noVBand="1"/>
      </w:tblPr>
      <w:tblGrid>
        <w:gridCol w:w="2409"/>
        <w:gridCol w:w="2410"/>
        <w:gridCol w:w="2410"/>
        <w:gridCol w:w="2410"/>
      </w:tblGrid>
      <w:tr w:rsidR="00037019" w:rsidTr="002747D2">
        <w:trPr>
          <w:trHeight w:val="240"/>
        </w:trPr>
        <w:tc>
          <w:tcPr>
            <w:tcW w:w="2410" w:type="dxa"/>
            <w:vMerge w:val="restart"/>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bottom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2747D2">
        <w:trPr>
          <w:trHeight w:val="240"/>
        </w:trPr>
        <w:tc>
          <w:tcPr>
            <w:tcW w:w="2410" w:type="dxa"/>
            <w:vMerge/>
            <w:shd w:val="clear" w:color="auto" w:fill="D3D3D3"/>
            <w:vAlign w:val="center"/>
          </w:tcPr>
          <w:p w:rsidR="00037019" w:rsidRDefault="00037019"/>
        </w:tc>
        <w:tc>
          <w:tcPr>
            <w:tcW w:w="2410" w:type="dxa"/>
            <w:shd w:val="clear" w:color="auto" w:fill="auto"/>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shd w:val="clear" w:color="auto" w:fill="auto"/>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shd w:val="clear" w:color="auto" w:fill="auto"/>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2747D2">
        <w:trPr>
          <w:trHeight w:val="240"/>
        </w:trPr>
        <w:tc>
          <w:tcPr>
            <w:tcW w:w="2410" w:type="dxa"/>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2410" w:type="dxa"/>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13,662,933.14</w:t>
            </w:r>
          </w:p>
        </w:tc>
        <w:tc>
          <w:tcPr>
            <w:tcW w:w="2410" w:type="dxa"/>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c>
          <w:tcPr>
            <w:tcW w:w="2410" w:type="dxa"/>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37019" w:rsidTr="002747D2">
        <w:trPr>
          <w:trHeight w:val="240"/>
        </w:trPr>
        <w:tc>
          <w:tcPr>
            <w:tcW w:w="2410" w:type="dxa"/>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13,662,933.14</w:t>
            </w:r>
          </w:p>
        </w:tc>
        <w:tc>
          <w:tcPr>
            <w:tcW w:w="2410" w:type="dxa"/>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c>
          <w:tcPr>
            <w:tcW w:w="2410" w:type="dxa"/>
            <w:shd w:val="clear" w:color="auto" w:fill="auto"/>
            <w:vAlign w:val="center"/>
          </w:tcPr>
          <w:p w:rsidR="00037019" w:rsidRDefault="00037019"/>
        </w:tc>
      </w:tr>
    </w:tbl>
    <w:p w:rsidR="00BE788E" w:rsidRPr="002747D2" w:rsidRDefault="00BE788E" w:rsidP="002747D2">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如是按照预期信用损失一般模型计提应收票据坏账准备：</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85" w:name="_Toc989075"/>
      <w:r>
        <w:rPr>
          <w:rFonts w:ascii="宋体" w:eastAsia="宋体" w:hAnsi="宋体" w:cs="宋体"/>
          <w:b/>
          <w:bCs/>
          <w:szCs w:val="21"/>
        </w:rPr>
        <w:t>（3） 本期计提、收回或转回的坏账准备情况</w:t>
      </w:r>
      <w:bookmarkEnd w:id="85"/>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本期计提坏账准备情况：</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2747D2">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2747D2">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86" w:name="_Toc989076"/>
      <w:r>
        <w:rPr>
          <w:rFonts w:ascii="宋体" w:eastAsia="宋体" w:hAnsi="宋体" w:cs="宋体"/>
          <w:b/>
          <w:bCs/>
          <w:szCs w:val="21"/>
        </w:rPr>
        <w:t>（4） 期末公司已质押的应收票据</w:t>
      </w:r>
      <w:bookmarkEnd w:id="8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期末已质</w:t>
            </w:r>
            <w:proofErr w:type="gramEnd"/>
            <w:r>
              <w:rPr>
                <w:rFonts w:ascii="宋体" w:eastAsia="宋体" w:hAnsi="宋体" w:cs="宋体"/>
                <w:sz w:val="18"/>
                <w:szCs w:val="18"/>
              </w:rPr>
              <w:t>押金额</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31,526,549.44</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31,526,549.44</w:t>
            </w:r>
          </w:p>
        </w:tc>
      </w:tr>
    </w:tbl>
    <w:p w:rsidR="00037019" w:rsidRDefault="00BE788E">
      <w:pPr>
        <w:keepNext/>
        <w:keepLines/>
        <w:spacing w:before="300" w:after="300" w:line="280" w:lineRule="exact"/>
        <w:outlineLvl w:val="3"/>
        <w:rPr>
          <w:rFonts w:ascii="宋体" w:eastAsia="宋体" w:hAnsi="宋体" w:cs="宋体"/>
          <w:b/>
          <w:bCs/>
          <w:szCs w:val="21"/>
        </w:rPr>
      </w:pPr>
      <w:bookmarkStart w:id="87" w:name="_Toc989077"/>
      <w:r>
        <w:rPr>
          <w:rFonts w:ascii="宋体" w:eastAsia="宋体" w:hAnsi="宋体" w:cs="宋体"/>
          <w:b/>
          <w:bCs/>
          <w:szCs w:val="21"/>
        </w:rPr>
        <w:t>（5） 期末公司已背书或贴现且在资产负债表日尚未到期的应收票据</w:t>
      </w:r>
      <w:bookmarkEnd w:id="8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期末终止确认金额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期末未终止确认金额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3,446,892,961.41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商业承兑票据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100,668,020.07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3,547,560,981.48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keepNext/>
        <w:keepLines/>
        <w:spacing w:before="300" w:after="300" w:line="280" w:lineRule="exact"/>
        <w:outlineLvl w:val="3"/>
        <w:rPr>
          <w:rFonts w:ascii="宋体" w:eastAsia="宋体" w:hAnsi="宋体" w:cs="宋体"/>
          <w:b/>
          <w:bCs/>
          <w:szCs w:val="21"/>
        </w:rPr>
      </w:pPr>
      <w:bookmarkStart w:id="88" w:name="_Toc989078"/>
      <w:r>
        <w:rPr>
          <w:rFonts w:ascii="宋体" w:eastAsia="宋体" w:hAnsi="宋体" w:cs="宋体"/>
          <w:b/>
          <w:bCs/>
          <w:szCs w:val="21"/>
        </w:rPr>
        <w:t>（6） 本期实际核销的应收票据情况</w:t>
      </w:r>
      <w:bookmarkEnd w:id="88"/>
    </w:p>
    <w:p w:rsidR="00BE788E" w:rsidRPr="002747D2" w:rsidRDefault="00BE788E" w:rsidP="002747D2">
      <w:pPr>
        <w:spacing w:before="100" w:after="100" w:line="240" w:lineRule="exact"/>
        <w:rPr>
          <w:rFonts w:ascii="宋体" w:eastAsia="宋体" w:hAnsi="宋体" w:cs="宋体"/>
          <w:sz w:val="18"/>
          <w:szCs w:val="18"/>
        </w:rPr>
      </w:pPr>
      <w:r>
        <w:rPr>
          <w:rFonts w:ascii="宋体" w:eastAsia="宋体" w:hAnsi="宋体" w:cs="宋体"/>
          <w:sz w:val="18"/>
          <w:szCs w:val="18"/>
        </w:rPr>
        <w:t>应收票据核销说明：</w:t>
      </w:r>
      <w:r>
        <w:rPr>
          <w:rFonts w:hint="eastAsia"/>
          <w:sz w:val="18"/>
          <w:szCs w:val="18"/>
        </w:rPr>
        <w:t>无。</w:t>
      </w:r>
    </w:p>
    <w:p w:rsidR="00037019" w:rsidRDefault="00BE788E">
      <w:pPr>
        <w:pStyle w:val="3"/>
        <w:spacing w:line="280" w:lineRule="exact"/>
        <w:jc w:val="left"/>
        <w:rPr>
          <w:rFonts w:ascii="宋体" w:hAnsi="宋体" w:cs="宋体"/>
          <w:b/>
          <w:bCs/>
        </w:rPr>
      </w:pPr>
      <w:bookmarkStart w:id="89" w:name="_Toc989079"/>
      <w:r>
        <w:rPr>
          <w:rFonts w:ascii="宋体" w:hAnsi="宋体" w:cs="宋体"/>
          <w:b/>
          <w:bCs/>
        </w:rPr>
        <w:t>5、应收账款</w:t>
      </w:r>
      <w:bookmarkEnd w:id="89"/>
    </w:p>
    <w:p w:rsidR="00037019" w:rsidRDefault="00BE788E">
      <w:pPr>
        <w:keepNext/>
        <w:keepLines/>
        <w:spacing w:before="300" w:after="300" w:line="280" w:lineRule="exact"/>
        <w:outlineLvl w:val="3"/>
        <w:rPr>
          <w:rFonts w:ascii="宋体" w:eastAsia="宋体" w:hAnsi="宋体" w:cs="宋体"/>
          <w:b/>
          <w:bCs/>
          <w:szCs w:val="21"/>
        </w:rPr>
      </w:pPr>
      <w:bookmarkStart w:id="90" w:name="_Toc989080"/>
      <w:r>
        <w:rPr>
          <w:rFonts w:ascii="宋体" w:eastAsia="宋体" w:hAnsi="宋体" w:cs="宋体"/>
          <w:b/>
          <w:bCs/>
          <w:szCs w:val="21"/>
        </w:rPr>
        <w:t xml:space="preserve">（1） </w:t>
      </w:r>
      <w:proofErr w:type="gramStart"/>
      <w:r>
        <w:rPr>
          <w:rFonts w:ascii="宋体" w:eastAsia="宋体" w:hAnsi="宋体" w:cs="宋体"/>
          <w:b/>
          <w:bCs/>
          <w:szCs w:val="21"/>
        </w:rPr>
        <w:t>按账龄</w:t>
      </w:r>
      <w:proofErr w:type="gramEnd"/>
      <w:r>
        <w:rPr>
          <w:rFonts w:ascii="宋体" w:eastAsia="宋体" w:hAnsi="宋体" w:cs="宋体"/>
          <w:b/>
          <w:bCs/>
          <w:szCs w:val="21"/>
        </w:rPr>
        <w:t>披露</w:t>
      </w:r>
      <w:bookmarkEnd w:id="90"/>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909,081,059.31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1,057,935,083.21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14,644,788.98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27,924,185.34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8,310,669.32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6,402,719.93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5,357,644.80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6,610,979.20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3至4年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1,482,975.02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1,464,344.54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4至5年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1,235,958.54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3,207,923.42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5年以上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2,638,711.24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1,938,711.24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937,394,162.41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1,098,872,967.68</w:t>
            </w:r>
          </w:p>
        </w:tc>
      </w:tr>
    </w:tbl>
    <w:p w:rsidR="00037019" w:rsidRDefault="00BE788E">
      <w:pPr>
        <w:keepNext/>
        <w:keepLines/>
        <w:spacing w:before="300" w:after="300" w:line="280" w:lineRule="exact"/>
        <w:outlineLvl w:val="3"/>
        <w:rPr>
          <w:rFonts w:ascii="宋体" w:eastAsia="宋体" w:hAnsi="宋体" w:cs="宋体"/>
          <w:b/>
          <w:bCs/>
          <w:szCs w:val="21"/>
        </w:rPr>
      </w:pPr>
      <w:bookmarkStart w:id="91" w:name="_Toc989081"/>
      <w:r>
        <w:rPr>
          <w:rFonts w:ascii="宋体" w:eastAsia="宋体" w:hAnsi="宋体" w:cs="宋体"/>
          <w:b/>
          <w:bCs/>
          <w:szCs w:val="21"/>
        </w:rPr>
        <w:t>（2） 按坏账计提方法分类披露</w:t>
      </w:r>
      <w:bookmarkEnd w:id="9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37019">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按单项计提坏账准备的应收账款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0.27%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934,823,303.55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99.73%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52,435,459.54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882,387,844.02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1,063,302,108.82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96.76%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59,243,643.18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1,004,058,465.64</w:t>
            </w:r>
          </w:p>
        </w:tc>
      </w:tr>
      <w:tr w:rsidR="00037019" w:rsidTr="002747D2">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2747D2">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934,823,303.56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52,435,459.54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882,387,844.02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1,063,302,108.82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59,243,643.18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1,004,058,465.64</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937,394,162.41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55,006,318.40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882,387,844.02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1,098,872,967.68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94,814,502.04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1,004,058,465.64</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按单项计提坏账准备类别名称：</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809"/>
        <w:gridCol w:w="1418"/>
        <w:gridCol w:w="1417"/>
        <w:gridCol w:w="1418"/>
        <w:gridCol w:w="1417"/>
        <w:gridCol w:w="993"/>
        <w:gridCol w:w="1167"/>
      </w:tblGrid>
      <w:tr w:rsidR="00037019" w:rsidTr="00EB1417">
        <w:trPr>
          <w:trHeight w:val="240"/>
        </w:trPr>
        <w:tc>
          <w:tcPr>
            <w:tcW w:w="180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2835"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4995"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EB1417">
        <w:trPr>
          <w:trHeight w:val="240"/>
        </w:trPr>
        <w:tc>
          <w:tcPr>
            <w:tcW w:w="180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9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116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计提理由</w:t>
            </w:r>
          </w:p>
        </w:tc>
      </w:tr>
      <w:tr w:rsidR="00037019" w:rsidTr="00EB1417">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东莞德永佳纺织制衣有限公司</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37019" w:rsidTr="00EB1417">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张家港</w:t>
            </w:r>
            <w:proofErr w:type="gramStart"/>
            <w:r>
              <w:rPr>
                <w:rFonts w:ascii="宋体" w:eastAsia="宋体" w:hAnsi="宋体" w:cs="宋体"/>
                <w:sz w:val="18"/>
                <w:szCs w:val="18"/>
              </w:rPr>
              <w:t>保税区汉木国际贸易</w:t>
            </w:r>
            <w:proofErr w:type="gramEnd"/>
            <w:r>
              <w:rPr>
                <w:rFonts w:ascii="宋体" w:eastAsia="宋体" w:hAnsi="宋体" w:cs="宋体"/>
                <w:sz w:val="18"/>
                <w:szCs w:val="18"/>
              </w:rPr>
              <w:t>有限公司</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EB1417">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苏州柏孚纺织科技有限公司</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EB1417">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吉安县新军安新型材料有限公司</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EB1417">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9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16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按组合计提坏账准备类别名称：预期信用风险组合</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2747D2">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2747D2">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909,081,059.32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45,454,052.97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37019" w:rsidTr="002747D2">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1-2年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14,644,788.98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1,464,478.90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037019" w:rsidTr="002747D2">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2-3年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5,739,810.46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1,147,962.09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w:t>
            </w:r>
          </w:p>
        </w:tc>
      </w:tr>
      <w:tr w:rsidR="00037019" w:rsidTr="002747D2">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3-4年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1,482,975.02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741,487.51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037019" w:rsidTr="002747D2">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4-5年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1,235,958.54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988,766.83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80.00%</w:t>
            </w:r>
          </w:p>
        </w:tc>
      </w:tr>
      <w:tr w:rsidR="00037019" w:rsidTr="002747D2">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5年以上</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2,638,711.24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2,638,711.24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37019" w:rsidTr="002747D2">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934,823,303.56</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52,435,459.54</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BE788E" w:rsidRPr="002747D2" w:rsidRDefault="00BE788E" w:rsidP="002747D2">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如是按照预期信用损失一般模型计提应收账款坏账准备：</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92" w:name="_Toc989082"/>
      <w:r>
        <w:rPr>
          <w:rFonts w:ascii="宋体" w:eastAsia="宋体" w:hAnsi="宋体" w:cs="宋体"/>
          <w:b/>
          <w:bCs/>
          <w:szCs w:val="21"/>
        </w:rPr>
        <w:t>（3） 本期计提、收回或转回的坏账准备情况</w:t>
      </w:r>
      <w:bookmarkEnd w:id="92"/>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本期计提坏账准备情况：</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093"/>
        <w:gridCol w:w="1559"/>
        <w:gridCol w:w="851"/>
        <w:gridCol w:w="1417"/>
        <w:gridCol w:w="1418"/>
        <w:gridCol w:w="850"/>
        <w:gridCol w:w="1451"/>
      </w:tblGrid>
      <w:tr w:rsidR="00037019" w:rsidTr="002747D2">
        <w:trPr>
          <w:trHeight w:val="240"/>
        </w:trPr>
        <w:tc>
          <w:tcPr>
            <w:tcW w:w="209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55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453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45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2747D2">
        <w:trPr>
          <w:trHeight w:val="240"/>
        </w:trPr>
        <w:tc>
          <w:tcPr>
            <w:tcW w:w="209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55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5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85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45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2747D2">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单项计提坏账准备的应收账款</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33,000,000.00</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r>
      <w:tr w:rsidR="00037019" w:rsidTr="002747D2">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5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2747D2">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其中：预期信用风险组合</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59,243,643.18</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6,808,495.89</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312.25</w:t>
            </w:r>
          </w:p>
        </w:tc>
        <w:tc>
          <w:tcPr>
            <w:tcW w:w="14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52,435,459.54</w:t>
            </w:r>
          </w:p>
        </w:tc>
      </w:tr>
      <w:tr w:rsidR="00037019" w:rsidTr="002747D2">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94,814,502.04</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6,808,495.89</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33,000,000.00</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312.25</w:t>
            </w:r>
          </w:p>
        </w:tc>
        <w:tc>
          <w:tcPr>
            <w:tcW w:w="14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55,006,318.40</w:t>
            </w:r>
          </w:p>
        </w:tc>
      </w:tr>
    </w:tbl>
    <w:p w:rsidR="00BE788E" w:rsidRPr="002747D2" w:rsidRDefault="00BE788E" w:rsidP="002747D2">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93" w:name="_Toc989083"/>
      <w:r>
        <w:rPr>
          <w:rFonts w:ascii="宋体" w:eastAsia="宋体" w:hAnsi="宋体" w:cs="宋体"/>
          <w:b/>
          <w:bCs/>
          <w:szCs w:val="21"/>
        </w:rPr>
        <w:t>（4） 本期实际核销的应收账款情况</w:t>
      </w:r>
      <w:bookmarkEnd w:id="9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实际核销的应收账款</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33,000,000.00</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其中重要的应收账款核销情况：</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809"/>
        <w:gridCol w:w="1403"/>
        <w:gridCol w:w="1606"/>
        <w:gridCol w:w="1607"/>
        <w:gridCol w:w="1607"/>
        <w:gridCol w:w="1607"/>
      </w:tblGrid>
      <w:tr w:rsidR="00037019" w:rsidTr="002747D2">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4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核销原因</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履行的核销程序</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款项是否由关联交易产生</w:t>
            </w:r>
          </w:p>
        </w:tc>
      </w:tr>
      <w:tr w:rsidR="00037019" w:rsidTr="002747D2">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张家港</w:t>
            </w:r>
            <w:proofErr w:type="gramStart"/>
            <w:r>
              <w:rPr>
                <w:rFonts w:ascii="宋体" w:eastAsia="宋体" w:hAnsi="宋体" w:cs="宋体"/>
                <w:sz w:val="18"/>
                <w:szCs w:val="18"/>
              </w:rPr>
              <w:t>保税区汉木国际贸易</w:t>
            </w:r>
            <w:proofErr w:type="gramEnd"/>
            <w:r>
              <w:rPr>
                <w:rFonts w:ascii="宋体" w:eastAsia="宋体" w:hAnsi="宋体" w:cs="宋体"/>
                <w:sz w:val="18"/>
                <w:szCs w:val="18"/>
              </w:rPr>
              <w:t>有限公司</w:t>
            </w:r>
          </w:p>
        </w:tc>
        <w:tc>
          <w:tcPr>
            <w:tcW w:w="1403" w:type="dxa"/>
            <w:tcBorders>
              <w:top w:val="single" w:sz="2" w:space="0" w:color="auto"/>
              <w:left w:val="single" w:sz="2" w:space="0" w:color="auto"/>
              <w:bottom w:val="single" w:sz="2" w:space="0" w:color="auto"/>
              <w:right w:val="single" w:sz="2" w:space="0" w:color="auto"/>
            </w:tcBorders>
            <w:vAlign w:val="center"/>
          </w:tcPr>
          <w:p w:rsidR="00037019" w:rsidRDefault="00BE788E" w:rsidP="002747D2">
            <w:pPr>
              <w:spacing w:line="240" w:lineRule="exact"/>
              <w:jc w:val="center"/>
              <w:rPr>
                <w:rFonts w:ascii="宋体" w:eastAsia="宋体" w:hAnsi="宋体" w:cs="宋体"/>
                <w:sz w:val="18"/>
                <w:szCs w:val="18"/>
              </w:rPr>
            </w:pPr>
            <w:r>
              <w:rPr>
                <w:rFonts w:ascii="宋体" w:eastAsia="宋体" w:hAnsi="宋体" w:cs="宋体"/>
                <w:sz w:val="18"/>
                <w:szCs w:val="18"/>
              </w:rPr>
              <w:t>货款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无法收回</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2747D2">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苏州柏孚纺织科技有限公司</w:t>
            </w:r>
          </w:p>
        </w:tc>
        <w:tc>
          <w:tcPr>
            <w:tcW w:w="1403" w:type="dxa"/>
            <w:tcBorders>
              <w:top w:val="single" w:sz="2" w:space="0" w:color="auto"/>
              <w:left w:val="single" w:sz="2" w:space="0" w:color="auto"/>
              <w:bottom w:val="single" w:sz="2" w:space="0" w:color="auto"/>
              <w:right w:val="single" w:sz="2" w:space="0" w:color="auto"/>
            </w:tcBorders>
            <w:vAlign w:val="center"/>
          </w:tcPr>
          <w:p w:rsidR="00037019" w:rsidRDefault="00BE788E" w:rsidP="002747D2">
            <w:pPr>
              <w:spacing w:line="240" w:lineRule="exact"/>
              <w:jc w:val="center"/>
              <w:rPr>
                <w:rFonts w:ascii="宋体" w:eastAsia="宋体" w:hAnsi="宋体" w:cs="宋体"/>
                <w:sz w:val="18"/>
                <w:szCs w:val="18"/>
              </w:rPr>
            </w:pPr>
            <w:r>
              <w:rPr>
                <w:rFonts w:ascii="宋体" w:eastAsia="宋体" w:hAnsi="宋体" w:cs="宋体"/>
                <w:sz w:val="18"/>
                <w:szCs w:val="18"/>
              </w:rPr>
              <w:t>货款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无法收回</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2747D2">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吉安县新军安新型材料有限公司</w:t>
            </w:r>
          </w:p>
        </w:tc>
        <w:tc>
          <w:tcPr>
            <w:tcW w:w="1403" w:type="dxa"/>
            <w:tcBorders>
              <w:top w:val="single" w:sz="2" w:space="0" w:color="auto"/>
              <w:left w:val="single" w:sz="2" w:space="0" w:color="auto"/>
              <w:bottom w:val="single" w:sz="2" w:space="0" w:color="auto"/>
              <w:right w:val="single" w:sz="2" w:space="0" w:color="auto"/>
            </w:tcBorders>
            <w:vAlign w:val="center"/>
          </w:tcPr>
          <w:p w:rsidR="00037019" w:rsidRDefault="00BE788E" w:rsidP="002747D2">
            <w:pPr>
              <w:spacing w:line="240" w:lineRule="exact"/>
              <w:jc w:val="center"/>
              <w:rPr>
                <w:rFonts w:ascii="宋体" w:eastAsia="宋体" w:hAnsi="宋体" w:cs="宋体"/>
                <w:sz w:val="18"/>
                <w:szCs w:val="18"/>
              </w:rPr>
            </w:pPr>
            <w:r>
              <w:rPr>
                <w:rFonts w:ascii="宋体" w:eastAsia="宋体" w:hAnsi="宋体" w:cs="宋体"/>
                <w:sz w:val="18"/>
                <w:szCs w:val="18"/>
              </w:rPr>
              <w:t>货款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无法收回</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2747D2">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403"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c>
          <w:tcPr>
            <w:tcW w:w="1606"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33,000,000.00</w:t>
            </w:r>
          </w:p>
        </w:tc>
        <w:tc>
          <w:tcPr>
            <w:tcW w:w="1607"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c>
          <w:tcPr>
            <w:tcW w:w="1607"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c>
          <w:tcPr>
            <w:tcW w:w="1607"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BE788E" w:rsidRPr="002747D2" w:rsidRDefault="00BE788E" w:rsidP="002747D2">
      <w:pPr>
        <w:spacing w:before="100" w:after="100" w:line="240" w:lineRule="exact"/>
        <w:rPr>
          <w:rFonts w:ascii="宋体" w:eastAsia="宋体" w:hAnsi="宋体" w:cs="宋体"/>
          <w:sz w:val="18"/>
          <w:szCs w:val="18"/>
        </w:rPr>
      </w:pPr>
      <w:r>
        <w:rPr>
          <w:rFonts w:ascii="宋体" w:eastAsia="宋体" w:hAnsi="宋体" w:cs="宋体"/>
          <w:sz w:val="18"/>
          <w:szCs w:val="18"/>
        </w:rPr>
        <w:t>应收账款核销说明：</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94" w:name="_Toc989084"/>
      <w:r>
        <w:rPr>
          <w:rFonts w:ascii="宋体" w:eastAsia="宋体" w:hAnsi="宋体" w:cs="宋体"/>
          <w:b/>
          <w:bCs/>
          <w:szCs w:val="21"/>
        </w:rPr>
        <w:t>（5） 按欠款方归集的期末余额前五名的应收账款和合同资产情况</w:t>
      </w:r>
      <w:bookmarkEnd w:id="9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rsidTr="002747D2">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合同资产期末余额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应收账款和合同资产期末余额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占应收账款和合同资产期末余额合计数的比例</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应收账款坏账准备和合同资产减值准备期末余额</w:t>
            </w:r>
          </w:p>
        </w:tc>
      </w:tr>
      <w:tr w:rsidR="00037019" w:rsidTr="002747D2">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第一名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236,172,858.19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236,172,858.19</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25.19%</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11,808,642.91</w:t>
            </w:r>
          </w:p>
        </w:tc>
      </w:tr>
      <w:tr w:rsidR="00037019" w:rsidTr="002747D2">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第二名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191,574,228.68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191,574,228.68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20.44%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9,578,711.43</w:t>
            </w:r>
          </w:p>
        </w:tc>
      </w:tr>
      <w:tr w:rsidR="00037019" w:rsidTr="002747D2">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第三名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59,076,079.90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59,076,079.90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2,953,804.00</w:t>
            </w:r>
          </w:p>
        </w:tc>
      </w:tr>
      <w:tr w:rsidR="00037019" w:rsidTr="002747D2">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第四名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50,958,289.14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50,958,289.14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2,547,914.46</w:t>
            </w:r>
          </w:p>
        </w:tc>
      </w:tr>
      <w:tr w:rsidR="00037019" w:rsidTr="002747D2">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第五名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30,760,379.03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30,760,379.03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1,538,018.95</w:t>
            </w:r>
          </w:p>
        </w:tc>
      </w:tr>
      <w:tr w:rsidR="00037019" w:rsidTr="002747D2">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568,541,834.94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568,541,834.94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60.65%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28,427,091.75</w:t>
            </w:r>
          </w:p>
        </w:tc>
      </w:tr>
    </w:tbl>
    <w:p w:rsidR="00037019" w:rsidRDefault="00BE788E">
      <w:pPr>
        <w:pStyle w:val="3"/>
        <w:spacing w:line="280" w:lineRule="exact"/>
        <w:jc w:val="left"/>
        <w:rPr>
          <w:rFonts w:ascii="宋体" w:hAnsi="宋体" w:cs="宋体"/>
          <w:b/>
          <w:bCs/>
        </w:rPr>
      </w:pPr>
      <w:bookmarkStart w:id="95" w:name="_Toc989085"/>
      <w:r>
        <w:rPr>
          <w:rFonts w:ascii="宋体" w:hAnsi="宋体" w:cs="宋体"/>
          <w:b/>
          <w:bCs/>
        </w:rPr>
        <w:t>6、合同资产</w:t>
      </w:r>
      <w:bookmarkEnd w:id="95"/>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按预期信用损失一般模型计提坏账准备</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EB1417">
        <w:rPr>
          <w:rFonts w:ascii="宋体" w:eastAsia="宋体" w:hAnsi="宋体" w:cs="宋体"/>
          <w:sz w:val="18"/>
          <w:szCs w:val="18"/>
        </w:rPr>
        <w:t>无</w:t>
      </w:r>
    </w:p>
    <w:p w:rsidR="00037019" w:rsidRDefault="00BE788E">
      <w:pPr>
        <w:pStyle w:val="3"/>
        <w:spacing w:line="280" w:lineRule="exact"/>
        <w:jc w:val="left"/>
        <w:rPr>
          <w:rFonts w:ascii="宋体" w:hAnsi="宋体" w:cs="宋体"/>
          <w:b/>
          <w:bCs/>
        </w:rPr>
      </w:pPr>
      <w:bookmarkStart w:id="96" w:name="_Toc989091"/>
      <w:r>
        <w:rPr>
          <w:rFonts w:ascii="宋体" w:hAnsi="宋体" w:cs="宋体"/>
          <w:b/>
          <w:bCs/>
        </w:rPr>
        <w:t>7、应收款项融资</w:t>
      </w:r>
      <w:bookmarkEnd w:id="96"/>
    </w:p>
    <w:p w:rsidR="00EB1417" w:rsidRDefault="00EB1417" w:rsidP="00EB1417">
      <w:pPr>
        <w:spacing w:before="100" w:after="100" w:line="240" w:lineRule="exact"/>
        <w:rPr>
          <w:rFonts w:ascii="宋体" w:eastAsia="宋体" w:hAnsi="宋体" w:cs="宋体"/>
          <w:sz w:val="18"/>
          <w:szCs w:val="18"/>
        </w:rPr>
      </w:pPr>
      <w:bookmarkStart w:id="97" w:name="_Toc989100"/>
      <w:r>
        <w:rPr>
          <w:rFonts w:ascii="宋体" w:eastAsia="宋体" w:hAnsi="宋体" w:cs="宋体"/>
          <w:sz w:val="18"/>
          <w:szCs w:val="18"/>
        </w:rPr>
        <w:t>其他说明：无</w:t>
      </w:r>
    </w:p>
    <w:p w:rsidR="00037019" w:rsidRDefault="00BE788E">
      <w:pPr>
        <w:pStyle w:val="3"/>
        <w:spacing w:line="280" w:lineRule="exact"/>
        <w:jc w:val="left"/>
        <w:rPr>
          <w:rFonts w:ascii="宋体" w:hAnsi="宋体" w:cs="宋体"/>
          <w:b/>
          <w:bCs/>
        </w:rPr>
      </w:pPr>
      <w:r>
        <w:rPr>
          <w:rFonts w:ascii="宋体" w:hAnsi="宋体" w:cs="宋体"/>
          <w:b/>
          <w:bCs/>
        </w:rPr>
        <w:t>8、其他应收款</w:t>
      </w:r>
      <w:bookmarkEnd w:id="9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319,685,590.29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231,214,898.67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319,685,590.29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231,214,898.67</w:t>
            </w:r>
          </w:p>
        </w:tc>
      </w:tr>
    </w:tbl>
    <w:p w:rsidR="00037019" w:rsidRDefault="00BE788E">
      <w:pPr>
        <w:keepNext/>
        <w:keepLines/>
        <w:spacing w:before="300" w:after="300" w:line="280" w:lineRule="exact"/>
        <w:outlineLvl w:val="3"/>
        <w:rPr>
          <w:rFonts w:ascii="宋体" w:eastAsia="宋体" w:hAnsi="宋体" w:cs="宋体"/>
          <w:b/>
          <w:bCs/>
          <w:szCs w:val="21"/>
        </w:rPr>
      </w:pPr>
      <w:bookmarkStart w:id="98" w:name="_Toc989113"/>
      <w:r>
        <w:rPr>
          <w:rFonts w:ascii="宋体" w:eastAsia="宋体" w:hAnsi="宋体" w:cs="宋体"/>
          <w:b/>
          <w:bCs/>
          <w:szCs w:val="21"/>
        </w:rPr>
        <w:lastRenderedPageBreak/>
        <w:t>（</w:t>
      </w:r>
      <w:r w:rsidR="00EB1417">
        <w:rPr>
          <w:rFonts w:ascii="宋体" w:eastAsia="宋体" w:hAnsi="宋体" w:cs="宋体" w:hint="eastAsia"/>
          <w:b/>
          <w:bCs/>
          <w:szCs w:val="21"/>
        </w:rPr>
        <w:t>1</w:t>
      </w:r>
      <w:r>
        <w:rPr>
          <w:rFonts w:ascii="宋体" w:eastAsia="宋体" w:hAnsi="宋体" w:cs="宋体"/>
          <w:b/>
          <w:bCs/>
          <w:szCs w:val="21"/>
        </w:rPr>
        <w:t>） 其他应收款</w:t>
      </w:r>
      <w:bookmarkEnd w:id="98"/>
    </w:p>
    <w:p w:rsidR="00037019" w:rsidRDefault="00BE788E">
      <w:pPr>
        <w:keepNext/>
        <w:keepLines/>
        <w:spacing w:before="300" w:after="300" w:line="280" w:lineRule="exact"/>
        <w:outlineLvl w:val="4"/>
        <w:rPr>
          <w:rFonts w:ascii="宋体" w:eastAsia="宋体" w:hAnsi="宋体" w:cs="宋体"/>
          <w:b/>
          <w:bCs/>
          <w:sz w:val="18"/>
          <w:szCs w:val="18"/>
        </w:rPr>
      </w:pPr>
      <w:bookmarkStart w:id="99" w:name="_Toc989114"/>
      <w:r>
        <w:rPr>
          <w:rFonts w:ascii="宋体" w:eastAsia="宋体" w:hAnsi="宋体" w:cs="宋体"/>
          <w:b/>
          <w:bCs/>
          <w:sz w:val="18"/>
          <w:szCs w:val="18"/>
        </w:rPr>
        <w:t>1） 其他应收款按款项性质分类情况</w:t>
      </w:r>
      <w:bookmarkEnd w:id="9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关联方往来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22,775,272.45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22,485,247.08</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保证金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38,821,857.74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15,937,495.49</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押金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11,832,784.29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1,589,318.94</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备用金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341,601.60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27,131.00</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员工借款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3,204,929.49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3,035,731.00</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257,641,050.08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205,694,481.34</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应收出口退税款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1,072,987.51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906,223.77</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代付款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9,038,460.52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8,384,586.34</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其他单位往来款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58,572,286.61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54,371,345.02</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固定资产转让款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40,690,000.00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40,690,000.00</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股权转让款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35,886,000.00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35,886,000.00</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7,289,723.15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6,511,563.64</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-167,481,363.14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-164,304,224.95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319,685,590.30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231,214,898.67</w:t>
            </w:r>
          </w:p>
        </w:tc>
      </w:tr>
    </w:tbl>
    <w:p w:rsidR="00037019" w:rsidRDefault="00BE788E">
      <w:pPr>
        <w:keepNext/>
        <w:keepLines/>
        <w:spacing w:before="300" w:after="300" w:line="280" w:lineRule="exact"/>
        <w:outlineLvl w:val="4"/>
        <w:rPr>
          <w:rFonts w:ascii="宋体" w:eastAsia="宋体" w:hAnsi="宋体" w:cs="宋体"/>
          <w:b/>
          <w:bCs/>
          <w:sz w:val="18"/>
          <w:szCs w:val="18"/>
        </w:rPr>
      </w:pPr>
      <w:bookmarkStart w:id="100" w:name="_Toc989115"/>
      <w:r>
        <w:rPr>
          <w:rFonts w:ascii="宋体" w:eastAsia="宋体" w:hAnsi="宋体" w:cs="宋体"/>
          <w:b/>
          <w:bCs/>
          <w:sz w:val="18"/>
          <w:szCs w:val="18"/>
        </w:rPr>
        <w:t xml:space="preserve">2） </w:t>
      </w:r>
      <w:proofErr w:type="gramStart"/>
      <w:r>
        <w:rPr>
          <w:rFonts w:ascii="宋体" w:eastAsia="宋体" w:hAnsi="宋体" w:cs="宋体"/>
          <w:b/>
          <w:bCs/>
          <w:sz w:val="18"/>
          <w:szCs w:val="18"/>
        </w:rPr>
        <w:t>按账龄</w:t>
      </w:r>
      <w:proofErr w:type="gramEnd"/>
      <w:r>
        <w:rPr>
          <w:rFonts w:ascii="宋体" w:eastAsia="宋体" w:hAnsi="宋体" w:cs="宋体"/>
          <w:b/>
          <w:bCs/>
          <w:sz w:val="18"/>
          <w:szCs w:val="18"/>
        </w:rPr>
        <w:t>披露</w:t>
      </w:r>
      <w:bookmarkEnd w:id="100"/>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284,247,624.88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215,157,253.73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75,209,334.19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51,412,638.68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11,825,066.53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12,618,290.37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115,884,927.84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116,330,940.84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EB1417">
            <w:pPr>
              <w:spacing w:before="40" w:after="40" w:line="240" w:lineRule="exact"/>
              <w:rPr>
                <w:rFonts w:ascii="宋体" w:eastAsia="宋体" w:hAnsi="宋体" w:cs="宋体"/>
                <w:sz w:val="18"/>
                <w:szCs w:val="18"/>
              </w:rPr>
            </w:pPr>
            <w:r>
              <w:rPr>
                <w:rFonts w:ascii="宋体" w:eastAsia="宋体" w:hAnsi="宋体" w:cs="宋体"/>
                <w:sz w:val="18"/>
                <w:szCs w:val="18"/>
              </w:rPr>
              <w:t>3至4年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13,173,943.58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13,572,163.43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EB1417">
            <w:pPr>
              <w:spacing w:before="40" w:after="40" w:line="240" w:lineRule="exact"/>
              <w:rPr>
                <w:rFonts w:ascii="宋体" w:eastAsia="宋体" w:hAnsi="宋体" w:cs="宋体"/>
                <w:sz w:val="18"/>
                <w:szCs w:val="18"/>
              </w:rPr>
            </w:pPr>
            <w:r>
              <w:rPr>
                <w:rFonts w:ascii="宋体" w:eastAsia="宋体" w:hAnsi="宋体" w:cs="宋体"/>
                <w:sz w:val="18"/>
                <w:szCs w:val="18"/>
              </w:rPr>
              <w:t>4至5年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33,314.55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EB1417">
            <w:pPr>
              <w:spacing w:before="40" w:after="40" w:line="240" w:lineRule="exact"/>
              <w:rPr>
                <w:rFonts w:ascii="宋体" w:eastAsia="宋体" w:hAnsi="宋体" w:cs="宋体"/>
                <w:sz w:val="18"/>
                <w:szCs w:val="18"/>
              </w:rPr>
            </w:pPr>
            <w:r>
              <w:rPr>
                <w:rFonts w:ascii="宋体" w:eastAsia="宋体" w:hAnsi="宋体" w:cs="宋体"/>
                <w:sz w:val="18"/>
                <w:szCs w:val="18"/>
              </w:rPr>
              <w:t>5年以上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102,677,669.71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102,675,777.41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487,166,953.44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395,519,123.62</w:t>
            </w:r>
          </w:p>
        </w:tc>
      </w:tr>
    </w:tbl>
    <w:p w:rsidR="00037019" w:rsidRDefault="00BE788E">
      <w:pPr>
        <w:keepNext/>
        <w:keepLines/>
        <w:spacing w:before="300" w:after="300" w:line="280" w:lineRule="exact"/>
        <w:outlineLvl w:val="4"/>
        <w:rPr>
          <w:rFonts w:ascii="宋体" w:eastAsia="宋体" w:hAnsi="宋体" w:cs="宋体"/>
          <w:b/>
          <w:bCs/>
          <w:sz w:val="18"/>
          <w:szCs w:val="18"/>
        </w:rPr>
      </w:pPr>
      <w:bookmarkStart w:id="101" w:name="_Toc989116"/>
      <w:r>
        <w:rPr>
          <w:rFonts w:ascii="宋体" w:eastAsia="宋体" w:hAnsi="宋体" w:cs="宋体"/>
          <w:b/>
          <w:bCs/>
          <w:sz w:val="18"/>
          <w:szCs w:val="18"/>
        </w:rPr>
        <w:t>3） 按坏账计提方法分类披露</w:t>
      </w:r>
      <w:bookmarkEnd w:id="101"/>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37019">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按单项计提坏账准备</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22,402,606.73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916AA1">
            <w:pPr>
              <w:spacing w:line="240" w:lineRule="exact"/>
              <w:jc w:val="right"/>
              <w:rPr>
                <w:rFonts w:ascii="宋体" w:eastAsia="宋体" w:hAnsi="宋体" w:cs="宋体"/>
                <w:sz w:val="18"/>
                <w:szCs w:val="18"/>
              </w:rPr>
            </w:pPr>
            <w:r>
              <w:rPr>
                <w:rFonts w:ascii="宋体" w:eastAsia="宋体" w:hAnsi="宋体" w:cs="宋体" w:hint="eastAsia"/>
                <w:sz w:val="18"/>
                <w:szCs w:val="18"/>
              </w:rPr>
              <w:t>4.60</w:t>
            </w:r>
            <w:r w:rsidR="00BE788E">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22,402,606.73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trPr>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按组合计提坏</w:t>
            </w:r>
            <w:r>
              <w:rPr>
                <w:rFonts w:ascii="宋体" w:eastAsia="宋体" w:hAnsi="宋体" w:cs="宋体"/>
                <w:sz w:val="18"/>
                <w:szCs w:val="18"/>
              </w:rPr>
              <w:lastRenderedPageBreak/>
              <w:t>账准备</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464,764,346.71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95.40%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145,078,756.41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31.22%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319,685,590.30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372,490,516.89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94.18%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141,275,618.22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37.93%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231,214,898.67</w:t>
            </w:r>
          </w:p>
        </w:tc>
      </w:tr>
      <w:tr w:rsidR="00037019">
        <w:trPr>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lastRenderedPageBreak/>
              <w:t>其中：</w:t>
            </w:r>
          </w:p>
        </w:tc>
      </w:tr>
      <w:tr w:rsidR="00037019" w:rsidTr="00EB1417">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183,164,309.12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39.41%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27,536,335.35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155,627,973.77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143,003,811.78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38.39%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25,866,123.26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18.09%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117,137,688.52</w:t>
            </w:r>
          </w:p>
        </w:tc>
      </w:tr>
      <w:tr w:rsidR="00037019" w:rsidTr="00EB1417">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应收财政款组合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257,641,050.08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55.43%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117,542,421.06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45.62%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140,098,629.02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205,694,481.34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55.22%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115,409,494.96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56.11%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90,284,986.38</w:t>
            </w:r>
          </w:p>
        </w:tc>
      </w:tr>
      <w:tr w:rsidR="00037019" w:rsidTr="00EB1417">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性质组合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23,958,987.51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23,958,987.51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23,792,223.77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23,792,223.77</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487,166,953.44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167,481,363.14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34.38%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319,685,590.30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395,519,123.62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164,304,224.95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231,214,898.67</w:t>
            </w:r>
          </w:p>
        </w:tc>
      </w:tr>
    </w:tbl>
    <w:p w:rsidR="00037019" w:rsidRDefault="00BE788E">
      <w:pPr>
        <w:spacing w:line="240" w:lineRule="exact"/>
        <w:rPr>
          <w:rFonts w:ascii="宋体" w:eastAsia="宋体" w:hAnsi="宋体" w:cs="宋体"/>
          <w:sz w:val="18"/>
          <w:szCs w:val="18"/>
        </w:rPr>
      </w:pPr>
      <w:r>
        <w:rPr>
          <w:rFonts w:ascii="宋体" w:eastAsia="宋体" w:hAnsi="宋体" w:cs="宋体"/>
          <w:sz w:val="18"/>
          <w:szCs w:val="18"/>
        </w:rPr>
        <w:t>按单项计提坏账准备类别名称：</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566"/>
        <w:gridCol w:w="1418"/>
        <w:gridCol w:w="1417"/>
        <w:gridCol w:w="1418"/>
        <w:gridCol w:w="1066"/>
        <w:gridCol w:w="1377"/>
      </w:tblGrid>
      <w:tr w:rsidR="00037019" w:rsidTr="00EB141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298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27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EB141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56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06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计提理由</w:t>
            </w:r>
          </w:p>
        </w:tc>
      </w:tr>
      <w:tr w:rsidR="00037019" w:rsidTr="00EB141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宁波欧励实业有限公司</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21,420,807.07</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21,420,807.07</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21,420,807.07</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21,420,807.07</w:t>
            </w:r>
          </w:p>
        </w:tc>
        <w:tc>
          <w:tcPr>
            <w:tcW w:w="10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37019" w:rsidTr="00EB141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光通天</w:t>
            </w:r>
            <w:proofErr w:type="gramStart"/>
            <w:r>
              <w:rPr>
                <w:rFonts w:ascii="宋体" w:eastAsia="宋体" w:hAnsi="宋体" w:cs="宋体"/>
                <w:sz w:val="18"/>
                <w:szCs w:val="18"/>
              </w:rPr>
              <w:t>下网络</w:t>
            </w:r>
            <w:proofErr w:type="gramEnd"/>
            <w:r>
              <w:rPr>
                <w:rFonts w:ascii="宋体" w:eastAsia="宋体" w:hAnsi="宋体" w:cs="宋体"/>
                <w:sz w:val="18"/>
                <w:szCs w:val="18"/>
              </w:rPr>
              <w:t>科技股份有限公司</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795,485.25</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795,485.25</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169,485.25</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169,485.25</w:t>
            </w:r>
          </w:p>
        </w:tc>
        <w:tc>
          <w:tcPr>
            <w:tcW w:w="10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37019" w:rsidTr="00EB141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青岛锦晟棉业有限公司</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0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37019" w:rsidTr="00EB141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沙雅县雅</w:t>
            </w:r>
            <w:proofErr w:type="gramStart"/>
            <w:r>
              <w:rPr>
                <w:rFonts w:ascii="宋体" w:eastAsia="宋体" w:hAnsi="宋体" w:cs="宋体"/>
                <w:sz w:val="18"/>
                <w:szCs w:val="18"/>
              </w:rPr>
              <w:t>鑫</w:t>
            </w:r>
            <w:proofErr w:type="gramEnd"/>
            <w:r>
              <w:rPr>
                <w:rFonts w:ascii="宋体" w:eastAsia="宋体" w:hAnsi="宋体" w:cs="宋体"/>
                <w:sz w:val="18"/>
                <w:szCs w:val="18"/>
              </w:rPr>
              <w:t>农业综合开发有限公司</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w:t>
            </w:r>
          </w:p>
        </w:tc>
        <w:tc>
          <w:tcPr>
            <w:tcW w:w="10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37019" w:rsidTr="00EB141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22,402,606.73</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22,402,606.73</w:t>
            </w:r>
          </w:p>
        </w:tc>
        <w:tc>
          <w:tcPr>
            <w:tcW w:w="1066" w:type="dxa"/>
            <w:tcBorders>
              <w:top w:val="single" w:sz="2" w:space="0" w:color="auto"/>
              <w:left w:val="single" w:sz="2" w:space="0" w:color="auto"/>
              <w:bottom w:val="single" w:sz="2" w:space="0" w:color="auto"/>
              <w:right w:val="nil"/>
            </w:tcBorders>
            <w:shd w:val="clear" w:color="auto" w:fill="auto"/>
            <w:vAlign w:val="center"/>
          </w:tcPr>
          <w:p w:rsidR="00037019" w:rsidRDefault="00037019"/>
        </w:tc>
        <w:tc>
          <w:tcPr>
            <w:tcW w:w="1377" w:type="dxa"/>
            <w:tcBorders>
              <w:top w:val="single" w:sz="2" w:space="0" w:color="auto"/>
              <w:left w:val="nil"/>
              <w:bottom w:val="single" w:sz="2" w:space="0" w:color="auto"/>
              <w:right w:val="single" w:sz="2" w:space="0" w:color="auto"/>
            </w:tcBorders>
            <w:shd w:val="clear" w:color="auto" w:fill="auto"/>
            <w:vAlign w:val="center"/>
          </w:tcPr>
          <w:p w:rsidR="00037019" w:rsidRDefault="00037019"/>
        </w:tc>
      </w:tr>
    </w:tbl>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按组合计提坏账准备类别名称：预期信用风险组合 </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EB1417">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134,458,282.76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6,722,914.13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1－2年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13,154,352.47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1,315,435.25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2－3年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11,825,066.53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2,365,013.31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3－4年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13,173,943.58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6,586,971.79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4－5年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33,314.55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26,651.64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5年以上</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10,519,349.23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10,519,349.23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183,164,309.12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27,536,335.35</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BE788E" w:rsidRPr="00EB1417" w:rsidRDefault="00BE788E" w:rsidP="00EB1417">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按组合计提坏账准备类别名称：应收财政款组合 </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EB1417">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125,610,869.36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6,280,543.47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1－2年,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2,080,932.53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208,093.25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2－3年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3－4年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37,790,927.71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18,895,463.86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4－5年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5年以上</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92,158,320.48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92,158,320.48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257,641,050.08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117,542,421.06</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p>
    <w:p w:rsidR="00BE788E" w:rsidRDefault="00BE788E">
      <w:pPr>
        <w:pStyle w:val="a3"/>
        <w:divId w:val="1483424926"/>
        <w:rPr>
          <w:sz w:val="18"/>
          <w:szCs w:val="18"/>
        </w:rPr>
      </w:pPr>
      <w:r>
        <w:rPr>
          <w:rFonts w:hint="eastAsia"/>
          <w:sz w:val="18"/>
          <w:szCs w:val="18"/>
        </w:rPr>
        <w:lastRenderedPageBreak/>
        <w:t>无。</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按组合计提坏账准备类别名称：性质组合</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EB1417">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转让博忆股权</w:t>
            </w:r>
            <w:proofErr w:type="gramEnd"/>
            <w:r>
              <w:rPr>
                <w:rFonts w:ascii="宋体" w:eastAsia="宋体" w:hAnsi="宋体" w:cs="宋体"/>
                <w:sz w:val="18"/>
                <w:szCs w:val="18"/>
              </w:rPr>
              <w:t>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22,886,000.00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出口退税</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1,072,987.51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23,958,987.51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p>
    <w:p w:rsidR="00BE788E" w:rsidRDefault="00BE788E">
      <w:pPr>
        <w:pStyle w:val="a3"/>
        <w:spacing w:before="0" w:beforeAutospacing="0" w:after="0" w:afterAutospacing="0"/>
        <w:jc w:val="both"/>
        <w:divId w:val="1936210437"/>
        <w:rPr>
          <w:rFonts w:ascii="Calibri" w:hAnsi="Calibri" w:cs="Calibri"/>
          <w:sz w:val="21"/>
          <w:szCs w:val="21"/>
        </w:rPr>
      </w:pPr>
      <w:r>
        <w:rPr>
          <w:rFonts w:cs="Calibri" w:hint="eastAsia"/>
          <w:sz w:val="18"/>
          <w:szCs w:val="18"/>
        </w:rPr>
        <w:t>   2023年10月24日，子公司</w:t>
      </w:r>
      <w:r w:rsidR="007539BF" w:rsidRPr="007539BF">
        <w:rPr>
          <w:rFonts w:cs="Calibri" w:hint="eastAsia"/>
          <w:sz w:val="18"/>
          <w:szCs w:val="18"/>
        </w:rPr>
        <w:t>浙江阿大互联科技有限公司</w:t>
      </w:r>
      <w:r>
        <w:rPr>
          <w:rFonts w:cs="Calibri" w:hint="eastAsia"/>
          <w:sz w:val="18"/>
          <w:szCs w:val="18"/>
        </w:rPr>
        <w:t>与许栩光、张晚霞签订股权转让协议，</w:t>
      </w:r>
      <w:r w:rsidR="007539BF" w:rsidRPr="007539BF">
        <w:rPr>
          <w:rFonts w:cs="Calibri" w:hint="eastAsia"/>
          <w:sz w:val="18"/>
          <w:szCs w:val="18"/>
        </w:rPr>
        <w:t>浙江阿大互联科技有限公司</w:t>
      </w:r>
      <w:r>
        <w:rPr>
          <w:rFonts w:cs="Calibri" w:hint="eastAsia"/>
          <w:sz w:val="18"/>
          <w:szCs w:val="18"/>
        </w:rPr>
        <w:t>以4,578.60万元将持有的浙江博忆纺织科技有限公司51.002%股权转让给许栩光、张晚霞，约定许栩光、张晚霞分两期支付，首期2,290万元于2023年支付，剩余2,288.60万元应于2024年-2029年的6年内支付，同时许栩光、张晚霞以其持有的房产作抵押。</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按预期信用损失一般模型计提坏账准备：</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2065"/>
        <w:gridCol w:w="2126"/>
        <w:gridCol w:w="1593"/>
      </w:tblGrid>
      <w:tr w:rsidR="00037019" w:rsidTr="00EB1417">
        <w:trPr>
          <w:trHeight w:val="240"/>
        </w:trPr>
        <w:tc>
          <w:tcPr>
            <w:tcW w:w="192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第一阶段</w:t>
            </w:r>
          </w:p>
        </w:tc>
        <w:tc>
          <w:tcPr>
            <w:tcW w:w="206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第二阶段</w:t>
            </w:r>
          </w:p>
        </w:tc>
        <w:tc>
          <w:tcPr>
            <w:tcW w:w="21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第三阶段</w:t>
            </w:r>
          </w:p>
        </w:tc>
        <w:tc>
          <w:tcPr>
            <w:tcW w:w="159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rsidTr="00EB1417">
        <w:trPr>
          <w:trHeight w:val="240"/>
        </w:trPr>
        <w:tc>
          <w:tcPr>
            <w:tcW w:w="192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未来12个月预期信用损失</w:t>
            </w:r>
          </w:p>
        </w:tc>
        <w:tc>
          <w:tcPr>
            <w:tcW w:w="206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整个存续期预期信用损失（未发生信用减值）</w:t>
            </w:r>
          </w:p>
        </w:tc>
        <w:tc>
          <w:tcPr>
            <w:tcW w:w="21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整个存续期预期信用损失（已发生信用减值）</w:t>
            </w:r>
          </w:p>
        </w:tc>
        <w:tc>
          <w:tcPr>
            <w:tcW w:w="159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EB1417">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2024年1月1日余额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164,304,224.95</w:t>
            </w:r>
          </w:p>
        </w:tc>
        <w:tc>
          <w:tcPr>
            <w:tcW w:w="206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1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164,304,224.95</w:t>
            </w:r>
          </w:p>
        </w:tc>
      </w:tr>
      <w:tr w:rsidR="00037019" w:rsidTr="00EB1417">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2024年1月1日余额在本期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06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1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5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EB1417">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3,170,719.55</w:t>
            </w:r>
          </w:p>
        </w:tc>
        <w:tc>
          <w:tcPr>
            <w:tcW w:w="206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1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3,170,719.55</w:t>
            </w:r>
          </w:p>
        </w:tc>
      </w:tr>
      <w:tr w:rsidR="00037019" w:rsidTr="00EB1417">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其他变动</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6,418.64</w:t>
            </w:r>
          </w:p>
        </w:tc>
        <w:tc>
          <w:tcPr>
            <w:tcW w:w="206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1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6,418.64</w:t>
            </w:r>
          </w:p>
        </w:tc>
      </w:tr>
      <w:tr w:rsidR="00037019" w:rsidTr="00EB1417">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2024年6月30日余额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167,481,363.14</w:t>
            </w:r>
          </w:p>
        </w:tc>
        <w:tc>
          <w:tcPr>
            <w:tcW w:w="206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1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167,481,363.14</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各阶段划分依据和坏账准备计提比例</w:t>
      </w:r>
    </w:p>
    <w:p w:rsidR="00BE788E" w:rsidRDefault="00BE788E">
      <w:pPr>
        <w:pStyle w:val="a3"/>
        <w:divId w:val="1546018373"/>
        <w:rPr>
          <w:sz w:val="18"/>
          <w:szCs w:val="18"/>
        </w:rPr>
      </w:pP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4"/>
        <w:rPr>
          <w:rFonts w:ascii="宋体" w:eastAsia="宋体" w:hAnsi="宋体" w:cs="宋体"/>
          <w:b/>
          <w:bCs/>
          <w:sz w:val="18"/>
          <w:szCs w:val="18"/>
        </w:rPr>
      </w:pPr>
      <w:bookmarkStart w:id="102" w:name="_Toc989117"/>
      <w:r>
        <w:rPr>
          <w:rFonts w:ascii="宋体" w:eastAsia="宋体" w:hAnsi="宋体" w:cs="宋体"/>
          <w:b/>
          <w:bCs/>
          <w:sz w:val="18"/>
          <w:szCs w:val="18"/>
        </w:rPr>
        <w:t>4） 本期计提、收回或转回的坏账准备情况</w:t>
      </w:r>
      <w:bookmarkEnd w:id="102"/>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本期计提坏账准备情况：</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526"/>
        <w:gridCol w:w="1559"/>
        <w:gridCol w:w="1559"/>
        <w:gridCol w:w="1276"/>
        <w:gridCol w:w="1134"/>
        <w:gridCol w:w="992"/>
        <w:gridCol w:w="1593"/>
      </w:tblGrid>
      <w:tr w:rsidR="00037019" w:rsidTr="00EB1417">
        <w:trPr>
          <w:trHeight w:val="240"/>
        </w:trPr>
        <w:tc>
          <w:tcPr>
            <w:tcW w:w="152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55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4961"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59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EB1417">
        <w:trPr>
          <w:trHeight w:val="240"/>
        </w:trPr>
        <w:tc>
          <w:tcPr>
            <w:tcW w:w="152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55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转销或核销</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59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EB1417">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单项计提预期信用损失的其他应收款</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626,000.00</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22,402,606.73</w:t>
            </w:r>
          </w:p>
        </w:tc>
      </w:tr>
      <w:tr w:rsidR="00037019" w:rsidTr="00EB1417">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按组合计提预期信用损失的其他应收款</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EB1417">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其中：预期信用</w:t>
            </w:r>
            <w:r>
              <w:rPr>
                <w:rFonts w:ascii="宋体" w:eastAsia="宋体" w:hAnsi="宋体" w:cs="宋体"/>
                <w:sz w:val="18"/>
                <w:szCs w:val="18"/>
              </w:rPr>
              <w:lastRenderedPageBreak/>
              <w:t>风险组合</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25,866,123.26</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1,663,793.45</w:t>
            </w: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6,418.64</w:t>
            </w: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27,536,335.35</w:t>
            </w:r>
          </w:p>
        </w:tc>
      </w:tr>
      <w:tr w:rsidR="00037019" w:rsidTr="00EB1417">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应收财政款组合</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115,409,494.96</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2,132,926.10</w:t>
            </w: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117,542,421.06</w:t>
            </w:r>
          </w:p>
        </w:tc>
      </w:tr>
      <w:tr w:rsidR="00037019" w:rsidTr="00EB1417">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164,304,224.95</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3,796,719.55</w:t>
            </w: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626,000.00</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6,418.64</w:t>
            </w: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167,481,363.14</w:t>
            </w:r>
          </w:p>
        </w:tc>
      </w:tr>
    </w:tbl>
    <w:p w:rsidR="00037019" w:rsidRDefault="00BE788E">
      <w:pPr>
        <w:keepNext/>
        <w:keepLines/>
        <w:spacing w:before="300" w:after="300" w:line="280" w:lineRule="exact"/>
        <w:outlineLvl w:val="4"/>
        <w:rPr>
          <w:rFonts w:ascii="宋体" w:eastAsia="宋体" w:hAnsi="宋体" w:cs="宋体"/>
          <w:b/>
          <w:bCs/>
          <w:sz w:val="18"/>
          <w:szCs w:val="18"/>
        </w:rPr>
      </w:pPr>
      <w:bookmarkStart w:id="103" w:name="_Toc989118"/>
      <w:r>
        <w:rPr>
          <w:rFonts w:ascii="宋体" w:eastAsia="宋体" w:hAnsi="宋体" w:cs="宋体"/>
          <w:b/>
          <w:bCs/>
          <w:sz w:val="18"/>
          <w:szCs w:val="18"/>
        </w:rPr>
        <w:t>5） 本期实际核销的其他应收款情况</w:t>
      </w:r>
      <w:bookmarkEnd w:id="103"/>
    </w:p>
    <w:p w:rsidR="00BE788E" w:rsidRPr="00EB1417" w:rsidRDefault="00BE788E" w:rsidP="00EB1417">
      <w:pPr>
        <w:spacing w:before="100" w:after="100" w:line="240" w:lineRule="exact"/>
        <w:rPr>
          <w:rFonts w:ascii="宋体" w:eastAsia="宋体" w:hAnsi="宋体" w:cs="宋体"/>
          <w:sz w:val="18"/>
          <w:szCs w:val="18"/>
        </w:rPr>
      </w:pPr>
      <w:r>
        <w:rPr>
          <w:rFonts w:ascii="宋体" w:eastAsia="宋体" w:hAnsi="宋体" w:cs="宋体"/>
          <w:sz w:val="18"/>
          <w:szCs w:val="18"/>
        </w:rPr>
        <w:t>其他应收款核销说明：</w:t>
      </w:r>
      <w:r>
        <w:rPr>
          <w:rFonts w:hint="eastAsia"/>
          <w:sz w:val="18"/>
          <w:szCs w:val="18"/>
        </w:rPr>
        <w:t>无。</w:t>
      </w:r>
    </w:p>
    <w:p w:rsidR="00037019" w:rsidRDefault="00BE788E">
      <w:pPr>
        <w:keepNext/>
        <w:keepLines/>
        <w:spacing w:before="300" w:after="300" w:line="280" w:lineRule="exact"/>
        <w:outlineLvl w:val="4"/>
        <w:rPr>
          <w:rFonts w:ascii="宋体" w:eastAsia="宋体" w:hAnsi="宋体" w:cs="宋体"/>
          <w:b/>
          <w:bCs/>
          <w:sz w:val="18"/>
          <w:szCs w:val="18"/>
        </w:rPr>
      </w:pPr>
      <w:bookmarkStart w:id="104" w:name="_Toc989119"/>
      <w:r>
        <w:rPr>
          <w:rFonts w:ascii="宋体" w:eastAsia="宋体" w:hAnsi="宋体" w:cs="宋体"/>
          <w:b/>
          <w:bCs/>
          <w:sz w:val="18"/>
          <w:szCs w:val="18"/>
        </w:rPr>
        <w:t>6） 按欠款方归集的期末余额前五名的其他应收款情况</w:t>
      </w:r>
      <w:bookmarkEnd w:id="10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占其他应收款期末余额合计数的比例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政府补助款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80,422,159.88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16.51%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4,021,107.99</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2,080,932.53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1-2年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0.43%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208,093.25</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37,360,604.62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3-4年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18,680,302.31</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4,592,600.00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5年以上</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0.94%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4,592,600.00</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政府补助款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14,337,616.83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716,880.84</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239,363.09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3-4年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119,681.55</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43,158,191.59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5年以上</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43,158,191.59</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应收房产转让款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40,690,000.00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2,034,500.00</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应收股权款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22,886,000.00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1,144,300.00</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50FA">
            <w:pPr>
              <w:spacing w:line="240" w:lineRule="exact"/>
              <w:rPr>
                <w:rFonts w:ascii="宋体" w:eastAsia="宋体" w:hAnsi="宋体" w:cs="宋体"/>
                <w:sz w:val="18"/>
                <w:szCs w:val="18"/>
              </w:rPr>
            </w:pPr>
            <w:r>
              <w:rPr>
                <w:rFonts w:ascii="宋体" w:eastAsia="宋体" w:hAnsi="宋体" w:cs="宋体" w:hint="eastAsia"/>
                <w:sz w:val="18"/>
                <w:szCs w:val="18"/>
              </w:rPr>
              <w:t>保证金</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c>
          <w:tcPr>
            <w:tcW w:w="1606"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265,767,468.54</w:t>
            </w:r>
          </w:p>
        </w:tc>
        <w:tc>
          <w:tcPr>
            <w:tcW w:w="1606"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54.55%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75,675,657.53</w:t>
            </w:r>
          </w:p>
        </w:tc>
      </w:tr>
    </w:tbl>
    <w:p w:rsidR="00037019" w:rsidRDefault="00BE788E">
      <w:pPr>
        <w:keepNext/>
        <w:keepLines/>
        <w:spacing w:before="300" w:after="300" w:line="280" w:lineRule="exact"/>
        <w:outlineLvl w:val="4"/>
        <w:rPr>
          <w:rFonts w:ascii="宋体" w:eastAsia="宋体" w:hAnsi="宋体" w:cs="宋体"/>
          <w:b/>
          <w:bCs/>
          <w:szCs w:val="21"/>
        </w:rPr>
      </w:pPr>
      <w:bookmarkStart w:id="105" w:name="_Toc989120"/>
      <w:r>
        <w:rPr>
          <w:rFonts w:ascii="宋体" w:eastAsia="宋体" w:hAnsi="宋体" w:cs="宋体"/>
          <w:b/>
          <w:bCs/>
          <w:szCs w:val="21"/>
        </w:rPr>
        <w:t>7） 因资金集中管理而列报于其他应收款</w:t>
      </w:r>
      <w:bookmarkEnd w:id="105"/>
    </w:p>
    <w:p w:rsidR="00BE788E" w:rsidRPr="00EB1417" w:rsidRDefault="00BE788E" w:rsidP="00EB1417">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06" w:name="_Toc989121"/>
      <w:r>
        <w:rPr>
          <w:rFonts w:ascii="宋体" w:hAnsi="宋体" w:cs="宋体"/>
          <w:b/>
          <w:bCs/>
        </w:rPr>
        <w:t>9、预付款项</w:t>
      </w:r>
      <w:bookmarkEnd w:id="106"/>
    </w:p>
    <w:p w:rsidR="00037019" w:rsidRDefault="00BE788E">
      <w:pPr>
        <w:keepNext/>
        <w:keepLines/>
        <w:spacing w:before="300" w:after="300" w:line="280" w:lineRule="exact"/>
        <w:outlineLvl w:val="3"/>
        <w:rPr>
          <w:rFonts w:ascii="宋体" w:eastAsia="宋体" w:hAnsi="宋体" w:cs="宋体"/>
          <w:b/>
          <w:bCs/>
          <w:szCs w:val="21"/>
        </w:rPr>
      </w:pPr>
      <w:bookmarkStart w:id="107" w:name="_Toc989122"/>
      <w:r>
        <w:rPr>
          <w:rFonts w:ascii="宋体" w:eastAsia="宋体" w:hAnsi="宋体" w:cs="宋体"/>
          <w:b/>
          <w:bCs/>
          <w:szCs w:val="21"/>
        </w:rPr>
        <w:t>（1） 预付</w:t>
      </w:r>
      <w:proofErr w:type="gramStart"/>
      <w:r>
        <w:rPr>
          <w:rFonts w:ascii="宋体" w:eastAsia="宋体" w:hAnsi="宋体" w:cs="宋体"/>
          <w:b/>
          <w:bCs/>
          <w:szCs w:val="21"/>
        </w:rPr>
        <w:t>款项按账龄</w:t>
      </w:r>
      <w:proofErr w:type="gramEnd"/>
      <w:r>
        <w:rPr>
          <w:rFonts w:ascii="宋体" w:eastAsia="宋体" w:hAnsi="宋体" w:cs="宋体"/>
          <w:b/>
          <w:bCs/>
          <w:szCs w:val="21"/>
        </w:rPr>
        <w:t>列示</w:t>
      </w:r>
      <w:bookmarkEnd w:id="10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1,300,034,982.02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99.61%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608,806,681.75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99.26%</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3,356,636.84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0.26%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3,748,080.54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0.61%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1,624,457.03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0.12%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756,516.88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0.12%</w:t>
            </w:r>
          </w:p>
        </w:tc>
      </w:tr>
      <w:tr w:rsidR="00037019" w:rsidTr="00EB141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64,703.59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BE50FA">
            <w:pPr>
              <w:spacing w:line="240" w:lineRule="exact"/>
              <w:jc w:val="right"/>
              <w:rPr>
                <w:rFonts w:ascii="宋体" w:eastAsia="宋体" w:hAnsi="宋体" w:cs="宋体"/>
                <w:sz w:val="18"/>
                <w:szCs w:val="18"/>
              </w:rPr>
            </w:pPr>
            <w:r>
              <w:rPr>
                <w:rFonts w:ascii="宋体" w:eastAsia="宋体" w:hAnsi="宋体" w:cs="宋体"/>
                <w:sz w:val="18"/>
                <w:szCs w:val="18"/>
              </w:rPr>
              <w:t>0.0</w:t>
            </w:r>
            <w:r w:rsidR="00BE50FA">
              <w:rPr>
                <w:rFonts w:ascii="宋体" w:eastAsia="宋体" w:hAnsi="宋体" w:cs="宋体" w:hint="eastAsia"/>
                <w:sz w:val="18"/>
                <w:szCs w:val="18"/>
              </w:rPr>
              <w:t>1</w:t>
            </w: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50,964.83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0.01%</w:t>
            </w:r>
          </w:p>
        </w:tc>
      </w:tr>
      <w:tr w:rsidR="00037019" w:rsidTr="00EB141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1,305,080,779.48</w:t>
            </w:r>
          </w:p>
        </w:tc>
        <w:tc>
          <w:tcPr>
            <w:tcW w:w="1928"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613,362,244.00</w:t>
            </w:r>
          </w:p>
        </w:tc>
        <w:tc>
          <w:tcPr>
            <w:tcW w:w="1928"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BE788E" w:rsidRPr="00EB1417" w:rsidRDefault="00BE788E" w:rsidP="00EB1417">
      <w:pPr>
        <w:spacing w:before="100" w:after="100" w:line="240" w:lineRule="exact"/>
        <w:rPr>
          <w:rFonts w:ascii="宋体" w:eastAsia="宋体" w:hAnsi="宋体" w:cs="宋体"/>
          <w:sz w:val="18"/>
          <w:szCs w:val="18"/>
        </w:rPr>
      </w:pPr>
      <w:r>
        <w:rPr>
          <w:rFonts w:ascii="宋体" w:eastAsia="宋体" w:hAnsi="宋体" w:cs="宋体"/>
          <w:sz w:val="18"/>
          <w:szCs w:val="18"/>
        </w:rPr>
        <w:t>账龄超过1年且金额重要的预付款项未及时结算原因的说明：</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108" w:name="_Toc989123"/>
      <w:r>
        <w:rPr>
          <w:rFonts w:ascii="宋体" w:eastAsia="宋体" w:hAnsi="宋体" w:cs="宋体"/>
          <w:b/>
          <w:bCs/>
          <w:szCs w:val="21"/>
        </w:rPr>
        <w:t>（2） 按预付对象归集的期末余额前五名的预付款情况</w:t>
      </w:r>
      <w:bookmarkEnd w:id="108"/>
    </w:p>
    <w:p w:rsidR="00BE788E" w:rsidRDefault="00BE788E" w:rsidP="00C67D9A">
      <w:pPr>
        <w:pStyle w:val="a3"/>
        <w:jc w:val="right"/>
        <w:divId w:val="1788163054"/>
        <w:rPr>
          <w:sz w:val="18"/>
          <w:szCs w:val="18"/>
        </w:rPr>
      </w:pPr>
      <w:r>
        <w:rPr>
          <w:rFonts w:hint="eastAsia"/>
          <w:sz w:val="18"/>
          <w:szCs w:val="18"/>
        </w:rPr>
        <w:t>                                                         单位：元</w:t>
      </w:r>
    </w:p>
    <w:tbl>
      <w:tblPr>
        <w:tblW w:w="9513" w:type="dxa"/>
        <w:tblCellMar>
          <w:left w:w="0" w:type="dxa"/>
          <w:right w:w="0" w:type="dxa"/>
        </w:tblCellMar>
        <w:tblLook w:val="04A0" w:firstRow="1" w:lastRow="0" w:firstColumn="1" w:lastColumn="0" w:noHBand="0" w:noVBand="1"/>
      </w:tblPr>
      <w:tblGrid>
        <w:gridCol w:w="1902"/>
        <w:gridCol w:w="1903"/>
        <w:gridCol w:w="1902"/>
        <w:gridCol w:w="1903"/>
        <w:gridCol w:w="1903"/>
      </w:tblGrid>
      <w:tr w:rsidR="00BE788E" w:rsidTr="00EB1417">
        <w:trPr>
          <w:divId w:val="1788163054"/>
          <w:trHeight w:val="711"/>
        </w:trPr>
        <w:tc>
          <w:tcPr>
            <w:tcW w:w="1902"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center"/>
              <w:rPr>
                <w:rFonts w:asciiTheme="minorEastAsia" w:hAnsiTheme="minorEastAsia" w:cs="宋体"/>
                <w:color w:val="000000"/>
                <w:sz w:val="18"/>
                <w:szCs w:val="18"/>
              </w:rPr>
            </w:pPr>
            <w:r w:rsidRPr="00EB1417">
              <w:rPr>
                <w:rFonts w:asciiTheme="minorEastAsia" w:hAnsiTheme="minorEastAsia" w:hint="eastAsia"/>
                <w:color w:val="000000"/>
                <w:sz w:val="18"/>
                <w:szCs w:val="18"/>
              </w:rPr>
              <w:lastRenderedPageBreak/>
              <w:t> 单位名称 </w:t>
            </w:r>
          </w:p>
        </w:tc>
        <w:tc>
          <w:tcPr>
            <w:tcW w:w="1903" w:type="dxa"/>
            <w:tcBorders>
              <w:top w:val="single" w:sz="8" w:space="0" w:color="auto"/>
              <w:left w:val="nil"/>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center"/>
              <w:rPr>
                <w:rFonts w:asciiTheme="minorEastAsia" w:hAnsiTheme="minorEastAsia" w:cs="宋体"/>
                <w:color w:val="000000"/>
                <w:sz w:val="18"/>
                <w:szCs w:val="18"/>
              </w:rPr>
            </w:pPr>
            <w:r w:rsidRPr="00EB1417">
              <w:rPr>
                <w:rFonts w:asciiTheme="minorEastAsia" w:hAnsiTheme="minorEastAsia" w:hint="eastAsia"/>
                <w:color w:val="000000"/>
                <w:sz w:val="18"/>
                <w:szCs w:val="18"/>
              </w:rPr>
              <w:t> 期末余额 </w:t>
            </w:r>
          </w:p>
        </w:tc>
        <w:tc>
          <w:tcPr>
            <w:tcW w:w="1902" w:type="dxa"/>
            <w:tcBorders>
              <w:top w:val="single" w:sz="8" w:space="0" w:color="auto"/>
              <w:left w:val="nil"/>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center"/>
              <w:rPr>
                <w:rFonts w:asciiTheme="minorEastAsia" w:hAnsiTheme="minorEastAsia" w:cs="宋体"/>
                <w:color w:val="000000"/>
                <w:sz w:val="18"/>
                <w:szCs w:val="18"/>
              </w:rPr>
            </w:pPr>
            <w:r w:rsidRPr="00EB1417">
              <w:rPr>
                <w:rFonts w:asciiTheme="minorEastAsia" w:hAnsiTheme="minorEastAsia" w:hint="eastAsia"/>
                <w:color w:val="000000"/>
                <w:sz w:val="18"/>
                <w:szCs w:val="18"/>
              </w:rPr>
              <w:t> 占预付账款期末余额的比</w:t>
            </w:r>
            <w:r w:rsidRPr="00EB1417">
              <w:rPr>
                <w:rFonts w:asciiTheme="minorEastAsia" w:hAnsiTheme="minorEastAsia"/>
                <w:color w:val="000000"/>
                <w:sz w:val="18"/>
                <w:szCs w:val="18"/>
              </w:rPr>
              <w:t>例(%) </w:t>
            </w:r>
          </w:p>
        </w:tc>
        <w:tc>
          <w:tcPr>
            <w:tcW w:w="1903" w:type="dxa"/>
            <w:tcBorders>
              <w:top w:val="single" w:sz="8" w:space="0" w:color="auto"/>
              <w:left w:val="nil"/>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center"/>
              <w:rPr>
                <w:rFonts w:asciiTheme="minorEastAsia" w:hAnsiTheme="minorEastAsia" w:cs="宋体"/>
                <w:color w:val="000000"/>
                <w:sz w:val="18"/>
                <w:szCs w:val="18"/>
              </w:rPr>
            </w:pPr>
            <w:r w:rsidRPr="00EB1417">
              <w:rPr>
                <w:rFonts w:asciiTheme="minorEastAsia" w:hAnsiTheme="minorEastAsia" w:hint="eastAsia"/>
                <w:color w:val="000000"/>
                <w:sz w:val="18"/>
                <w:szCs w:val="18"/>
              </w:rPr>
              <w:t> 账龄 </w:t>
            </w:r>
          </w:p>
        </w:tc>
        <w:tc>
          <w:tcPr>
            <w:tcW w:w="1903" w:type="dxa"/>
            <w:tcBorders>
              <w:top w:val="single" w:sz="8" w:space="0" w:color="auto"/>
              <w:left w:val="nil"/>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center"/>
              <w:rPr>
                <w:rFonts w:asciiTheme="minorEastAsia" w:hAnsiTheme="minorEastAsia" w:cs="宋体"/>
                <w:color w:val="000000"/>
                <w:sz w:val="18"/>
                <w:szCs w:val="18"/>
              </w:rPr>
            </w:pPr>
            <w:r w:rsidRPr="00EB1417">
              <w:rPr>
                <w:rFonts w:asciiTheme="minorEastAsia" w:hAnsiTheme="minorEastAsia" w:hint="eastAsia"/>
                <w:color w:val="000000"/>
                <w:sz w:val="18"/>
                <w:szCs w:val="18"/>
              </w:rPr>
              <w:t> 未结算原因 </w:t>
            </w:r>
          </w:p>
        </w:tc>
      </w:tr>
      <w:tr w:rsidR="00BE788E" w:rsidTr="00EB1417">
        <w:trPr>
          <w:divId w:val="1788163054"/>
          <w:trHeight w:val="312"/>
        </w:trPr>
        <w:tc>
          <w:tcPr>
            <w:tcW w:w="1902"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both"/>
              <w:rPr>
                <w:rFonts w:asciiTheme="minorEastAsia" w:hAnsiTheme="minorEastAsia" w:cs="宋体"/>
                <w:color w:val="000000"/>
                <w:sz w:val="18"/>
                <w:szCs w:val="18"/>
              </w:rPr>
            </w:pPr>
            <w:r w:rsidRPr="00EB1417">
              <w:rPr>
                <w:rFonts w:asciiTheme="minorEastAsia" w:hAnsiTheme="minorEastAsia" w:hint="eastAsia"/>
                <w:color w:val="000000"/>
                <w:sz w:val="18"/>
                <w:szCs w:val="18"/>
              </w:rPr>
              <w:t>第一名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138,299,273.65 </w:t>
            </w:r>
          </w:p>
        </w:tc>
        <w:tc>
          <w:tcPr>
            <w:tcW w:w="190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10.60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1 年以内</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合同未执行完毕</w:t>
            </w:r>
          </w:p>
        </w:tc>
      </w:tr>
      <w:tr w:rsidR="00BE788E" w:rsidTr="00EB1417">
        <w:trPr>
          <w:divId w:val="1788163054"/>
          <w:trHeight w:val="312"/>
        </w:trPr>
        <w:tc>
          <w:tcPr>
            <w:tcW w:w="1902"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both"/>
              <w:rPr>
                <w:rFonts w:asciiTheme="minorEastAsia" w:hAnsiTheme="minorEastAsia" w:cs="宋体"/>
                <w:color w:val="000000"/>
                <w:sz w:val="18"/>
                <w:szCs w:val="18"/>
              </w:rPr>
            </w:pPr>
            <w:r w:rsidRPr="00EB1417">
              <w:rPr>
                <w:rFonts w:asciiTheme="minorEastAsia" w:hAnsiTheme="minorEastAsia" w:hint="eastAsia"/>
                <w:color w:val="000000"/>
                <w:sz w:val="18"/>
                <w:szCs w:val="18"/>
              </w:rPr>
              <w:t>第二名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111,350,000.00 </w:t>
            </w:r>
          </w:p>
        </w:tc>
        <w:tc>
          <w:tcPr>
            <w:tcW w:w="190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8.53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1 年以内</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合同未执行完毕</w:t>
            </w:r>
          </w:p>
        </w:tc>
      </w:tr>
      <w:tr w:rsidR="00BE788E" w:rsidTr="00EB1417">
        <w:trPr>
          <w:divId w:val="1788163054"/>
          <w:trHeight w:val="312"/>
        </w:trPr>
        <w:tc>
          <w:tcPr>
            <w:tcW w:w="1902"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both"/>
              <w:rPr>
                <w:rFonts w:asciiTheme="minorEastAsia" w:hAnsiTheme="minorEastAsia" w:cs="宋体"/>
                <w:color w:val="000000"/>
                <w:sz w:val="18"/>
                <w:szCs w:val="18"/>
              </w:rPr>
            </w:pPr>
            <w:r w:rsidRPr="00EB1417">
              <w:rPr>
                <w:rFonts w:asciiTheme="minorEastAsia" w:hAnsiTheme="minorEastAsia" w:hint="eastAsia"/>
                <w:color w:val="000000"/>
                <w:sz w:val="18"/>
                <w:szCs w:val="18"/>
              </w:rPr>
              <w:t>第三名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102,666,932.03 </w:t>
            </w:r>
          </w:p>
        </w:tc>
        <w:tc>
          <w:tcPr>
            <w:tcW w:w="190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7.87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1 年以内</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合同未执行完毕</w:t>
            </w:r>
          </w:p>
        </w:tc>
      </w:tr>
      <w:tr w:rsidR="00BE788E" w:rsidTr="00EB1417">
        <w:trPr>
          <w:divId w:val="1788163054"/>
          <w:trHeight w:val="312"/>
        </w:trPr>
        <w:tc>
          <w:tcPr>
            <w:tcW w:w="1902"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both"/>
              <w:rPr>
                <w:rFonts w:asciiTheme="minorEastAsia" w:hAnsiTheme="minorEastAsia" w:cs="宋体"/>
                <w:color w:val="000000"/>
                <w:sz w:val="18"/>
                <w:szCs w:val="18"/>
              </w:rPr>
            </w:pPr>
            <w:r w:rsidRPr="00EB1417">
              <w:rPr>
                <w:rFonts w:asciiTheme="minorEastAsia" w:hAnsiTheme="minorEastAsia" w:hint="eastAsia"/>
                <w:color w:val="000000"/>
                <w:sz w:val="18"/>
                <w:szCs w:val="18"/>
              </w:rPr>
              <w:t>第四名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98,968,000.00 </w:t>
            </w:r>
          </w:p>
        </w:tc>
        <w:tc>
          <w:tcPr>
            <w:tcW w:w="190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7.58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1 年以内</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合同未执行完毕</w:t>
            </w:r>
          </w:p>
        </w:tc>
      </w:tr>
      <w:tr w:rsidR="00BE788E" w:rsidTr="00EB1417">
        <w:trPr>
          <w:divId w:val="1788163054"/>
          <w:trHeight w:val="312"/>
        </w:trPr>
        <w:tc>
          <w:tcPr>
            <w:tcW w:w="1902"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both"/>
              <w:rPr>
                <w:rFonts w:asciiTheme="minorEastAsia" w:hAnsiTheme="minorEastAsia" w:cs="宋体"/>
                <w:color w:val="000000"/>
                <w:sz w:val="18"/>
                <w:szCs w:val="18"/>
              </w:rPr>
            </w:pPr>
            <w:r w:rsidRPr="00EB1417">
              <w:rPr>
                <w:rFonts w:asciiTheme="minorEastAsia" w:hAnsiTheme="minorEastAsia" w:hint="eastAsia"/>
                <w:color w:val="000000"/>
                <w:sz w:val="18"/>
                <w:szCs w:val="18"/>
              </w:rPr>
              <w:t>第五名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82,454,500.00 </w:t>
            </w:r>
          </w:p>
        </w:tc>
        <w:tc>
          <w:tcPr>
            <w:tcW w:w="190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6.32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1 年以内</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合同未执行完毕</w:t>
            </w:r>
          </w:p>
        </w:tc>
      </w:tr>
      <w:tr w:rsidR="00BE788E" w:rsidTr="00EB1417">
        <w:trPr>
          <w:divId w:val="1788163054"/>
          <w:trHeight w:val="327"/>
        </w:trPr>
        <w:tc>
          <w:tcPr>
            <w:tcW w:w="1902"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rsidP="00C67D9A">
            <w:pPr>
              <w:rPr>
                <w:rFonts w:asciiTheme="minorEastAsia" w:hAnsiTheme="minorEastAsia" w:cs="宋体"/>
                <w:color w:val="000000"/>
                <w:sz w:val="18"/>
                <w:szCs w:val="18"/>
              </w:rPr>
            </w:pPr>
            <w:r w:rsidRPr="00EB1417">
              <w:rPr>
                <w:rFonts w:asciiTheme="minorEastAsia" w:hAnsiTheme="minorEastAsia" w:hint="eastAsia"/>
                <w:color w:val="000000"/>
                <w:sz w:val="18"/>
                <w:szCs w:val="18"/>
              </w:rPr>
              <w:t>合计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533,738,705.68 </w:t>
            </w:r>
          </w:p>
        </w:tc>
        <w:tc>
          <w:tcPr>
            <w:tcW w:w="190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40.90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w:t>
            </w:r>
          </w:p>
        </w:tc>
        <w:tc>
          <w:tcPr>
            <w:tcW w:w="1903" w:type="dxa"/>
            <w:tcBorders>
              <w:top w:val="nil"/>
              <w:left w:val="nil"/>
              <w:bottom w:val="single" w:sz="8" w:space="0" w:color="auto"/>
              <w:right w:val="single" w:sz="8" w:space="0" w:color="auto"/>
            </w:tcBorders>
            <w:noWrap/>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22"/>
              </w:rPr>
            </w:pPr>
            <w:r w:rsidRPr="00EB1417">
              <w:rPr>
                <w:rFonts w:asciiTheme="minorEastAsia" w:hAnsiTheme="minorEastAsia"/>
                <w:color w:val="000000"/>
                <w:sz w:val="22"/>
              </w:rPr>
              <w:t> </w:t>
            </w:r>
          </w:p>
        </w:tc>
      </w:tr>
    </w:tbl>
    <w:p w:rsidR="00BE788E" w:rsidRPr="00C67D9A" w:rsidRDefault="00BE788E" w:rsidP="00C67D9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09" w:name="_Toc989124"/>
      <w:r>
        <w:rPr>
          <w:rFonts w:ascii="宋体" w:hAnsi="宋体" w:cs="宋体"/>
          <w:b/>
          <w:bCs/>
        </w:rPr>
        <w:t>10、存货</w:t>
      </w:r>
      <w:bookmarkEnd w:id="109"/>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公司是否需要遵守房地产行业的披露要求</w:t>
      </w:r>
    </w:p>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否</w:t>
      </w:r>
      <w:proofErr w:type="gramEnd"/>
    </w:p>
    <w:p w:rsidR="00037019" w:rsidRDefault="00BE788E">
      <w:pPr>
        <w:keepNext/>
        <w:keepLines/>
        <w:spacing w:before="300" w:after="300" w:line="280" w:lineRule="exact"/>
        <w:outlineLvl w:val="3"/>
        <w:rPr>
          <w:rFonts w:ascii="宋体" w:eastAsia="宋体" w:hAnsi="宋体" w:cs="宋体"/>
          <w:b/>
          <w:bCs/>
          <w:szCs w:val="21"/>
        </w:rPr>
      </w:pPr>
      <w:bookmarkStart w:id="110" w:name="_Toc989125"/>
      <w:r>
        <w:rPr>
          <w:rFonts w:ascii="宋体" w:eastAsia="宋体" w:hAnsi="宋体" w:cs="宋体"/>
          <w:b/>
          <w:bCs/>
          <w:szCs w:val="21"/>
        </w:rPr>
        <w:t>（1） 存货分类</w:t>
      </w:r>
      <w:bookmarkEnd w:id="11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42"/>
        <w:gridCol w:w="1512"/>
        <w:gridCol w:w="1377"/>
        <w:gridCol w:w="1377"/>
        <w:gridCol w:w="1377"/>
        <w:gridCol w:w="1377"/>
        <w:gridCol w:w="1377"/>
      </w:tblGrid>
      <w:tr w:rsidR="00037019" w:rsidTr="00C67D9A">
        <w:trPr>
          <w:cantSplit/>
          <w:trHeight w:val="240"/>
        </w:trPr>
        <w:tc>
          <w:tcPr>
            <w:tcW w:w="124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266"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C67D9A">
        <w:trPr>
          <w:cantSplit/>
          <w:trHeight w:val="240"/>
        </w:trPr>
        <w:tc>
          <w:tcPr>
            <w:tcW w:w="124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51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原材料</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1,053,975,400.97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4,212,287.65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1,049,763,113.32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2,492,733,151.22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3,556,409.24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2,489,176,741.98</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在产品</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164,557,492.62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3,043,408.48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161,514,084.14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163,932,330.28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3,233,890.46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160,698,439.82</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库存商品</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2,334,658,928.85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67,691,086.34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2,266,967,842.51</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2,253,552,128.04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66,423,579.54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2,187,128,548.50</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周转材料</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24,179,932.98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24,179,932.98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5,045,546.96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5,045,546.96</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发出商品</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11,737,078.17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11,737,078.17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10,705,222.84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10,705,222.84</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委托加工物资</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651,989.00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651,989.00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1,412,778.27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1,412,778.27</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自制半成品</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188,944,501.74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188,944,501.74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153,299,308.76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153,299,308.76</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3,778,705,324.33</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74,946,782.47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3,703,758,541.86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5,080,680,466.37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73,213,879.24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5,007,466,587.13</w:t>
            </w:r>
          </w:p>
        </w:tc>
      </w:tr>
    </w:tbl>
    <w:p w:rsidR="00037019" w:rsidRDefault="00BE788E">
      <w:pPr>
        <w:keepNext/>
        <w:keepLines/>
        <w:spacing w:before="300" w:after="300" w:line="280" w:lineRule="exact"/>
        <w:outlineLvl w:val="3"/>
        <w:rPr>
          <w:rFonts w:ascii="宋体" w:eastAsia="宋体" w:hAnsi="宋体" w:cs="宋体"/>
          <w:b/>
          <w:bCs/>
          <w:szCs w:val="21"/>
        </w:rPr>
      </w:pPr>
      <w:bookmarkStart w:id="111" w:name="_Toc989126"/>
      <w:r>
        <w:rPr>
          <w:rFonts w:ascii="宋体" w:eastAsia="宋体" w:hAnsi="宋体" w:cs="宋体"/>
          <w:b/>
          <w:bCs/>
          <w:szCs w:val="21"/>
        </w:rPr>
        <w:t>（2）</w:t>
      </w:r>
      <w:bookmarkStart w:id="112" w:name="_Toc989127"/>
      <w:bookmarkEnd w:id="111"/>
      <w:r>
        <w:rPr>
          <w:rFonts w:ascii="宋体" w:eastAsia="宋体" w:hAnsi="宋体" w:cs="宋体"/>
          <w:b/>
          <w:bCs/>
          <w:szCs w:val="21"/>
        </w:rPr>
        <w:t>存货跌价准备和合同履约成本减值准备</w:t>
      </w:r>
      <w:bookmarkEnd w:id="112"/>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转回或转销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3,556,409.24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655,878.41</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4,212,287.65</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在产品</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3,233,890.46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217,798.64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408,280.62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3,043,408.48</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库存商品</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66,423,579.54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1,444,854.38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2,160,168.40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-1,982,820.82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67,691,086.34</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73,213,879.24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2,318,531.43</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2,568,449.02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-1,982,820.82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74,946,782.47</w:t>
            </w:r>
          </w:p>
        </w:tc>
      </w:tr>
    </w:tbl>
    <w:p w:rsidR="00BE788E" w:rsidRDefault="00BE788E">
      <w:pPr>
        <w:pStyle w:val="a3"/>
        <w:divId w:val="1935548945"/>
        <w:rPr>
          <w:sz w:val="18"/>
          <w:szCs w:val="18"/>
        </w:rPr>
      </w:pPr>
      <w:r>
        <w:rPr>
          <w:rFonts w:hint="eastAsia"/>
          <w:sz w:val="18"/>
          <w:szCs w:val="18"/>
        </w:rPr>
        <w:t>期末存货按成本高于可变现净值的差额计提存货跌价准备，确定可变现净值的依据为：在正常生产经营过程中，以存货的估计售价减去至完工估计将要发生的成本、估计的销售费用以及相关税费后的金额。</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按组合计提存货跌价准备的计提标准</w:t>
      </w:r>
    </w:p>
    <w:p w:rsidR="00BE788E" w:rsidRDefault="00BE788E">
      <w:pPr>
        <w:pStyle w:val="a3"/>
        <w:divId w:val="1883587829"/>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113" w:name="_Toc989128"/>
      <w:r>
        <w:rPr>
          <w:rFonts w:ascii="宋体" w:eastAsia="宋体" w:hAnsi="宋体" w:cs="宋体"/>
          <w:b/>
          <w:bCs/>
          <w:szCs w:val="21"/>
        </w:rPr>
        <w:t>（</w:t>
      </w:r>
      <w:r w:rsidR="00C67D9A">
        <w:rPr>
          <w:rFonts w:ascii="宋体" w:eastAsia="宋体" w:hAnsi="宋体" w:cs="宋体" w:hint="eastAsia"/>
          <w:b/>
          <w:bCs/>
          <w:szCs w:val="21"/>
        </w:rPr>
        <w:t>3</w:t>
      </w:r>
      <w:r>
        <w:rPr>
          <w:rFonts w:ascii="宋体" w:eastAsia="宋体" w:hAnsi="宋体" w:cs="宋体"/>
          <w:b/>
          <w:bCs/>
          <w:szCs w:val="21"/>
        </w:rPr>
        <w:t>） 存货期末余额含有借款费用资本</w:t>
      </w:r>
      <w:proofErr w:type="gramStart"/>
      <w:r>
        <w:rPr>
          <w:rFonts w:ascii="宋体" w:eastAsia="宋体" w:hAnsi="宋体" w:cs="宋体"/>
          <w:b/>
          <w:bCs/>
          <w:szCs w:val="21"/>
        </w:rPr>
        <w:t>化金额</w:t>
      </w:r>
      <w:proofErr w:type="gramEnd"/>
      <w:r>
        <w:rPr>
          <w:rFonts w:ascii="宋体" w:eastAsia="宋体" w:hAnsi="宋体" w:cs="宋体"/>
          <w:b/>
          <w:bCs/>
          <w:szCs w:val="21"/>
        </w:rPr>
        <w:t>的说明</w:t>
      </w:r>
      <w:bookmarkEnd w:id="113"/>
    </w:p>
    <w:p w:rsidR="00BE788E" w:rsidRDefault="00BE788E">
      <w:pPr>
        <w:pStyle w:val="a3"/>
        <w:divId w:val="2146700404"/>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114" w:name="_Toc989129"/>
      <w:r>
        <w:rPr>
          <w:rFonts w:ascii="宋体" w:eastAsia="宋体" w:hAnsi="宋体" w:cs="宋体"/>
          <w:b/>
          <w:bCs/>
          <w:szCs w:val="21"/>
        </w:rPr>
        <w:t>（</w:t>
      </w:r>
      <w:r w:rsidR="00C67D9A">
        <w:rPr>
          <w:rFonts w:ascii="宋体" w:eastAsia="宋体" w:hAnsi="宋体" w:cs="宋体" w:hint="eastAsia"/>
          <w:b/>
          <w:bCs/>
          <w:szCs w:val="21"/>
        </w:rPr>
        <w:t>4</w:t>
      </w:r>
      <w:r>
        <w:rPr>
          <w:rFonts w:ascii="宋体" w:eastAsia="宋体" w:hAnsi="宋体" w:cs="宋体"/>
          <w:b/>
          <w:bCs/>
          <w:szCs w:val="21"/>
        </w:rPr>
        <w:t>） 合同履约成本本期摊销金额的说明</w:t>
      </w:r>
      <w:bookmarkEnd w:id="114"/>
    </w:p>
    <w:p w:rsidR="00BE788E" w:rsidRDefault="00BE788E">
      <w:pPr>
        <w:pStyle w:val="a3"/>
        <w:divId w:val="1392651679"/>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115" w:name="_Toc989130"/>
      <w:r>
        <w:rPr>
          <w:rFonts w:ascii="宋体" w:hAnsi="宋体" w:cs="宋体"/>
          <w:b/>
          <w:bCs/>
        </w:rPr>
        <w:t>11、持有待售资产</w:t>
      </w:r>
      <w:bookmarkEnd w:id="115"/>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BE788E" w:rsidRDefault="00BE788E">
      <w:pPr>
        <w:pStyle w:val="a3"/>
        <w:divId w:val="1350062681"/>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116" w:name="_Toc989131"/>
      <w:r>
        <w:rPr>
          <w:rFonts w:ascii="宋体" w:hAnsi="宋体" w:cs="宋体"/>
          <w:b/>
          <w:bCs/>
        </w:rPr>
        <w:t>12、一年内到期的非流动资产</w:t>
      </w:r>
      <w:bookmarkEnd w:id="11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C67D9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C67D9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一年内到期的长期应收款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2,934,612.50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2,931,142.48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2,934,612.50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2,931,142.48</w:t>
            </w:r>
          </w:p>
        </w:tc>
      </w:tr>
    </w:tbl>
    <w:p w:rsidR="00037019" w:rsidRDefault="00BE788E">
      <w:pPr>
        <w:keepNext/>
        <w:keepLines/>
        <w:spacing w:before="300" w:after="300" w:line="280" w:lineRule="exact"/>
        <w:outlineLvl w:val="3"/>
        <w:rPr>
          <w:rFonts w:ascii="宋体" w:eastAsia="宋体" w:hAnsi="宋体" w:cs="宋体"/>
          <w:b/>
          <w:bCs/>
          <w:szCs w:val="21"/>
        </w:rPr>
      </w:pPr>
      <w:bookmarkStart w:id="117" w:name="_Toc989132"/>
      <w:r>
        <w:rPr>
          <w:rFonts w:ascii="宋体" w:eastAsia="宋体" w:hAnsi="宋体" w:cs="宋体"/>
          <w:b/>
          <w:bCs/>
          <w:szCs w:val="21"/>
        </w:rPr>
        <w:t>（1） 一年内到期的债权投资</w:t>
      </w:r>
      <w:bookmarkEnd w:id="117"/>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118" w:name="_Toc989133"/>
      <w:r>
        <w:rPr>
          <w:rFonts w:ascii="宋体" w:eastAsia="宋体" w:hAnsi="宋体" w:cs="宋体"/>
          <w:b/>
          <w:bCs/>
          <w:szCs w:val="21"/>
        </w:rPr>
        <w:t>（2） 一年内到期的其他债权投资</w:t>
      </w:r>
      <w:bookmarkEnd w:id="118"/>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119" w:name="_Toc989134"/>
      <w:r>
        <w:rPr>
          <w:rFonts w:ascii="宋体" w:hAnsi="宋体" w:cs="宋体"/>
          <w:b/>
          <w:bCs/>
        </w:rPr>
        <w:t>13、其他流动资产</w:t>
      </w:r>
      <w:bookmarkEnd w:id="11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C67D9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C67D9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增值税留抵扣额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143,433,056.01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118,468,377.90</w:t>
            </w:r>
          </w:p>
        </w:tc>
      </w:tr>
      <w:tr w:rsidR="00037019" w:rsidTr="00C67D9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以</w:t>
            </w:r>
            <w:proofErr w:type="gramStart"/>
            <w:r>
              <w:rPr>
                <w:rFonts w:ascii="宋体" w:eastAsia="宋体" w:hAnsi="宋体" w:cs="宋体"/>
                <w:sz w:val="18"/>
                <w:szCs w:val="18"/>
              </w:rPr>
              <w:t>抵销</w:t>
            </w:r>
            <w:proofErr w:type="gramEnd"/>
            <w:r>
              <w:rPr>
                <w:rFonts w:ascii="宋体" w:eastAsia="宋体" w:hAnsi="宋体" w:cs="宋体"/>
                <w:sz w:val="18"/>
                <w:szCs w:val="18"/>
              </w:rPr>
              <w:t>后净额列示的所得税预缴税额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1,419,988.30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6,622,702.65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144,853,044.31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125,091,080.55</w:t>
            </w:r>
          </w:p>
        </w:tc>
      </w:tr>
    </w:tbl>
    <w:p w:rsidR="00BE788E" w:rsidRPr="00C67D9A" w:rsidRDefault="00BE788E" w:rsidP="00C67D9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20" w:name="_Toc989135"/>
      <w:r>
        <w:rPr>
          <w:rFonts w:ascii="宋体" w:hAnsi="宋体" w:cs="宋体"/>
          <w:b/>
          <w:bCs/>
        </w:rPr>
        <w:lastRenderedPageBreak/>
        <w:t>14、债权投资</w:t>
      </w:r>
      <w:bookmarkEnd w:id="120"/>
    </w:p>
    <w:p w:rsidR="00BE788E" w:rsidRPr="00C67D9A" w:rsidRDefault="00BE788E" w:rsidP="00C67D9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C67D9A">
        <w:rPr>
          <w:rFonts w:ascii="宋体" w:eastAsia="宋体" w:hAnsi="宋体" w:cs="宋体" w:hint="eastAsia"/>
          <w:sz w:val="18"/>
          <w:szCs w:val="18"/>
        </w:rPr>
        <w:t>无。</w:t>
      </w:r>
    </w:p>
    <w:p w:rsidR="00037019" w:rsidRDefault="00BE788E">
      <w:pPr>
        <w:pStyle w:val="3"/>
        <w:spacing w:line="280" w:lineRule="exact"/>
        <w:jc w:val="left"/>
        <w:rPr>
          <w:rFonts w:ascii="宋体" w:hAnsi="宋体" w:cs="宋体"/>
          <w:b/>
          <w:bCs/>
        </w:rPr>
      </w:pPr>
      <w:bookmarkStart w:id="121" w:name="_Toc989140"/>
      <w:r>
        <w:rPr>
          <w:rFonts w:ascii="宋体" w:hAnsi="宋体" w:cs="宋体"/>
          <w:b/>
          <w:bCs/>
        </w:rPr>
        <w:t>15、其他债权投资</w:t>
      </w:r>
      <w:bookmarkEnd w:id="121"/>
    </w:p>
    <w:p w:rsidR="00BE788E" w:rsidRPr="00C67D9A" w:rsidRDefault="00BE788E" w:rsidP="00C67D9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22" w:name="_Toc989145"/>
      <w:r>
        <w:rPr>
          <w:rFonts w:ascii="宋体" w:hAnsi="宋体" w:cs="宋体"/>
          <w:b/>
          <w:bCs/>
        </w:rPr>
        <w:t>16、其他权益工具投资</w:t>
      </w:r>
      <w:bookmarkEnd w:id="122"/>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447"/>
        <w:gridCol w:w="1134"/>
        <w:gridCol w:w="632"/>
        <w:gridCol w:w="786"/>
        <w:gridCol w:w="708"/>
        <w:gridCol w:w="1276"/>
        <w:gridCol w:w="1514"/>
        <w:gridCol w:w="1071"/>
      </w:tblGrid>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144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本期计入其他综合收益的利得</w:t>
            </w:r>
          </w:p>
        </w:tc>
        <w:tc>
          <w:tcPr>
            <w:tcW w:w="63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本期计入其他综合收益的损失</w:t>
            </w:r>
          </w:p>
        </w:tc>
        <w:tc>
          <w:tcPr>
            <w:tcW w:w="78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本期末累计计入其他综合收益的利得</w:t>
            </w:r>
          </w:p>
        </w:tc>
        <w:tc>
          <w:tcPr>
            <w:tcW w:w="70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本期末累计计入其他综合收益的损失</w:t>
            </w:r>
          </w:p>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本期确认的股利收入</w:t>
            </w:r>
          </w:p>
        </w:tc>
        <w:tc>
          <w:tcPr>
            <w:tcW w:w="151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指定为以公允价值计量且其变动计入其他综合收益的原因</w:t>
            </w: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浙江八达股份有限公司</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66,000.00</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浙江凯旋股份有限公司</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65,945.90</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65,945.90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石河子国民村镇银行有限责任公司</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892,500.00</w:t>
            </w: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杭州英涉时装</w:t>
            </w:r>
            <w:proofErr w:type="gramEnd"/>
            <w:r>
              <w:rPr>
                <w:rFonts w:ascii="宋体" w:eastAsia="宋体" w:hAnsi="宋体" w:cs="宋体"/>
                <w:sz w:val="18"/>
                <w:szCs w:val="18"/>
              </w:rPr>
              <w:t>有限公司</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7,830,000.00</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7,830,000.00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徽商银行股份有限公司</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54,754,746.91</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1,088,358.68</w:t>
            </w: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55,843,105.59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广州思立德供应链管理有限公司</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共青城</w:t>
            </w:r>
            <w:proofErr w:type="gramStart"/>
            <w:r>
              <w:rPr>
                <w:rFonts w:ascii="宋体" w:eastAsia="宋体" w:hAnsi="宋体" w:cs="宋体"/>
                <w:sz w:val="18"/>
                <w:szCs w:val="18"/>
              </w:rPr>
              <w:t>龙芯创零创业</w:t>
            </w:r>
            <w:proofErr w:type="gramEnd"/>
            <w:r>
              <w:rPr>
                <w:rFonts w:ascii="宋体" w:eastAsia="宋体" w:hAnsi="宋体" w:cs="宋体"/>
                <w:sz w:val="18"/>
                <w:szCs w:val="18"/>
              </w:rPr>
              <w:t>投资基金合伙企业（有限合伙）</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77,716,692.81</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1,088,358.68</w:t>
            </w: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892,500.00</w:t>
            </w: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79,305,051.49</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分项披露</w:t>
      </w:r>
      <w:proofErr w:type="gramStart"/>
      <w:r>
        <w:rPr>
          <w:rFonts w:ascii="宋体" w:eastAsia="宋体" w:hAnsi="宋体" w:cs="宋体"/>
          <w:sz w:val="18"/>
          <w:szCs w:val="18"/>
        </w:rPr>
        <w:t>本期非交易</w:t>
      </w:r>
      <w:proofErr w:type="gramEnd"/>
      <w:r>
        <w:rPr>
          <w:rFonts w:ascii="宋体" w:eastAsia="宋体" w:hAnsi="宋体" w:cs="宋体"/>
          <w:sz w:val="18"/>
          <w:szCs w:val="18"/>
        </w:rPr>
        <w:t>性权益工具投资</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999"/>
        <w:gridCol w:w="1418"/>
        <w:gridCol w:w="1134"/>
        <w:gridCol w:w="1417"/>
        <w:gridCol w:w="1917"/>
        <w:gridCol w:w="1377"/>
      </w:tblGrid>
      <w:tr w:rsidR="00037019" w:rsidTr="00C67D9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99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确认的股利收入</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累计利得</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累计损失</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其他综合收益转入留存收益的金额</w:t>
            </w:r>
          </w:p>
        </w:tc>
        <w:tc>
          <w:tcPr>
            <w:tcW w:w="19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指定为以公允价值计量且其变动计入其他综合收益的原因</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其他综合收益转入留存收益的原因</w:t>
            </w:r>
          </w:p>
        </w:tc>
      </w:tr>
      <w:tr w:rsidR="00037019" w:rsidTr="00C67D9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徽商银行股份</w:t>
            </w:r>
            <w:r>
              <w:rPr>
                <w:rFonts w:ascii="宋体" w:eastAsia="宋体" w:hAnsi="宋体" w:cs="宋体"/>
                <w:sz w:val="18"/>
                <w:szCs w:val="18"/>
              </w:rPr>
              <w:lastRenderedPageBreak/>
              <w:t>有限公司</w:t>
            </w:r>
          </w:p>
        </w:tc>
        <w:tc>
          <w:tcPr>
            <w:tcW w:w="99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8,718,984.25</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“三无”投资</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其他说明：</w:t>
      </w:r>
    </w:p>
    <w:p w:rsidR="00BE788E" w:rsidRDefault="00BE788E" w:rsidP="00C67D9A">
      <w:pPr>
        <w:pStyle w:val="a3"/>
        <w:spacing w:before="0" w:beforeAutospacing="0" w:after="0" w:afterAutospacing="0"/>
        <w:divId w:val="473838716"/>
        <w:rPr>
          <w:sz w:val="18"/>
          <w:szCs w:val="18"/>
        </w:rPr>
      </w:pPr>
      <w:r>
        <w:rPr>
          <w:rFonts w:hint="eastAsia"/>
          <w:sz w:val="18"/>
          <w:szCs w:val="18"/>
        </w:rPr>
        <w:t>（1）徽商银行(03698，HK)于2013年11月12日在香港联交所挂牌交易，本公司所持有徽商银行股份有限公司的投资拟长期持有，以资产负债表日收盘计算公允价值，公允价值变动计入其他综合收益。</w:t>
      </w:r>
    </w:p>
    <w:p w:rsidR="00BE788E" w:rsidRDefault="00BE788E" w:rsidP="00C67D9A">
      <w:pPr>
        <w:pStyle w:val="a3"/>
        <w:spacing w:before="0" w:beforeAutospacing="0" w:after="0" w:afterAutospacing="0"/>
        <w:divId w:val="473838716"/>
        <w:rPr>
          <w:sz w:val="18"/>
          <w:szCs w:val="18"/>
        </w:rPr>
      </w:pPr>
      <w:r>
        <w:rPr>
          <w:rFonts w:hint="eastAsia"/>
          <w:sz w:val="18"/>
          <w:szCs w:val="18"/>
        </w:rPr>
        <w:t>（2）其他公司的其他权益工具投资的公允价值可能估计金额分布范围很广，成本代表了该范围内对公允价值的最佳估计，</w:t>
      </w:r>
      <w:proofErr w:type="gramStart"/>
      <w:r>
        <w:rPr>
          <w:rFonts w:hint="eastAsia"/>
          <w:sz w:val="18"/>
          <w:szCs w:val="18"/>
        </w:rPr>
        <w:t>该成本</w:t>
      </w:r>
      <w:proofErr w:type="gramEnd"/>
      <w:r>
        <w:rPr>
          <w:rFonts w:hint="eastAsia"/>
          <w:sz w:val="18"/>
          <w:szCs w:val="18"/>
        </w:rPr>
        <w:t>可代表其在该分布范围内对公允价值的恰当估计。</w:t>
      </w:r>
    </w:p>
    <w:p w:rsidR="00037019" w:rsidRDefault="00BE788E">
      <w:pPr>
        <w:pStyle w:val="3"/>
        <w:spacing w:line="280" w:lineRule="exact"/>
        <w:jc w:val="left"/>
        <w:rPr>
          <w:rFonts w:ascii="宋体" w:hAnsi="宋体" w:cs="宋体"/>
          <w:b/>
          <w:bCs/>
        </w:rPr>
      </w:pPr>
      <w:bookmarkStart w:id="123" w:name="_Toc989146"/>
      <w:r>
        <w:rPr>
          <w:rFonts w:ascii="宋体" w:hAnsi="宋体" w:cs="宋体"/>
          <w:b/>
          <w:bCs/>
        </w:rPr>
        <w:t>17、长期应收款</w:t>
      </w:r>
      <w:bookmarkEnd w:id="123"/>
    </w:p>
    <w:p w:rsidR="00BE788E" w:rsidRDefault="00BE788E">
      <w:pPr>
        <w:pStyle w:val="a3"/>
        <w:divId w:val="562840099"/>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124" w:name="_Toc989151"/>
      <w:r>
        <w:rPr>
          <w:rFonts w:ascii="宋体" w:hAnsi="宋体" w:cs="宋体"/>
          <w:b/>
          <w:bCs/>
        </w:rPr>
        <w:t>18、长期股权投资</w:t>
      </w:r>
      <w:bookmarkEnd w:id="12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1"/>
        <w:gridCol w:w="741"/>
        <w:gridCol w:w="741"/>
        <w:gridCol w:w="741"/>
        <w:gridCol w:w="741"/>
        <w:gridCol w:w="741"/>
        <w:gridCol w:w="745"/>
        <w:gridCol w:w="741"/>
        <w:gridCol w:w="743"/>
      </w:tblGrid>
      <w:tr w:rsidR="00037019">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期初余额（账面价值）</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减值准备期初余额</w:t>
            </w:r>
          </w:p>
        </w:tc>
        <w:tc>
          <w:tcPr>
            <w:tcW w:w="5932"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本期增减变动</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期末余额（账面价值）</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减值准备期末余额</w:t>
            </w:r>
          </w:p>
        </w:tc>
      </w:tr>
      <w:tr w:rsidR="00037019">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追加投资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减少投资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权益法下确认的投资损益</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其他综合收益调整</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其他权益变动</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宣告发放现金股利或利润</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计提减值准备</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一、合营企业</w:t>
            </w:r>
          </w:p>
        </w:tc>
      </w:tr>
      <w:tr w:rsidR="00037019">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二、联营企业</w:t>
            </w:r>
          </w:p>
        </w:tc>
      </w:tr>
      <w:tr w:rsidR="00037019" w:rsidTr="00C67D9A">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45,040,232.91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-575,378.98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44,464,853.93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福田实业（集团）有限公司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241,048,989.08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-1,537,592.00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1,718,320.57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241,229,717.65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39,994,950.46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-1,215,829.80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38,779,120.66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小计</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326,084,172.45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-3,328,800.78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1,718,320.57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324,473,692.24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326,084,172.45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-3,328,800.78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1,718,320.57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324,473,692.24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可收回金额按公允价值减去处置费用后的净额确定</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C67D9A" w:rsidRDefault="00BE788E" w:rsidP="00C67D9A">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r w:rsidR="00C67D9A">
        <w:rPr>
          <w:rFonts w:ascii="宋体" w:eastAsia="宋体" w:hAnsi="宋体" w:cs="宋体" w:hint="eastAsia"/>
          <w:sz w:val="18"/>
          <w:szCs w:val="18"/>
        </w:rPr>
        <w:t>：</w:t>
      </w:r>
      <w:r>
        <w:rPr>
          <w:rFonts w:hint="eastAsia"/>
          <w:sz w:val="18"/>
          <w:szCs w:val="18"/>
        </w:rPr>
        <w:t>无。</w:t>
      </w:r>
    </w:p>
    <w:p w:rsidR="00BE788E" w:rsidRPr="00C67D9A" w:rsidRDefault="00BE788E" w:rsidP="00C67D9A">
      <w:pPr>
        <w:spacing w:before="100" w:after="100" w:line="240" w:lineRule="exact"/>
        <w:rPr>
          <w:rFonts w:ascii="宋体" w:eastAsia="宋体" w:hAnsi="宋体" w:cs="宋体"/>
          <w:sz w:val="18"/>
          <w:szCs w:val="18"/>
        </w:rPr>
      </w:pPr>
      <w:r>
        <w:rPr>
          <w:rFonts w:ascii="宋体" w:eastAsia="宋体" w:hAnsi="宋体" w:cs="宋体"/>
          <w:sz w:val="18"/>
          <w:szCs w:val="18"/>
        </w:rPr>
        <w:t>公司以前年度减值测试采用信息与当年实际情况明显不一致的差异原因</w:t>
      </w:r>
      <w:r w:rsidR="00C67D9A">
        <w:rPr>
          <w:rFonts w:ascii="宋体" w:eastAsia="宋体" w:hAnsi="宋体" w:cs="宋体" w:hint="eastAsia"/>
          <w:sz w:val="18"/>
          <w:szCs w:val="18"/>
        </w:rPr>
        <w:t>：</w:t>
      </w: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C67D9A">
        <w:rPr>
          <w:rFonts w:ascii="宋体" w:eastAsia="宋体" w:hAnsi="宋体" w:cs="宋体"/>
          <w:sz w:val="18"/>
          <w:szCs w:val="18"/>
        </w:rPr>
        <w:t>：</w:t>
      </w:r>
    </w:p>
    <w:p w:rsidR="00BE788E" w:rsidRPr="00C67D9A" w:rsidRDefault="00BE788E" w:rsidP="00C67D9A">
      <w:pPr>
        <w:pStyle w:val="a3"/>
        <w:spacing w:before="0" w:beforeAutospacing="0" w:after="0" w:afterAutospacing="0"/>
        <w:divId w:val="503054348"/>
        <w:rPr>
          <w:rFonts w:asciiTheme="minorEastAsia" w:eastAsiaTheme="minorEastAsia" w:hAnsiTheme="minorEastAsia"/>
          <w:sz w:val="18"/>
          <w:szCs w:val="18"/>
        </w:rPr>
      </w:pPr>
      <w:r w:rsidRPr="00C67D9A">
        <w:rPr>
          <w:rFonts w:asciiTheme="minorEastAsia" w:eastAsiaTheme="minorEastAsia" w:hAnsiTheme="minorEastAsia" w:hint="eastAsia"/>
          <w:sz w:val="18"/>
          <w:szCs w:val="18"/>
        </w:rPr>
        <w:t>本公司子公司香港天成持有福田实业（集团）有限公司（以下简称福田实业，股票代码：</w:t>
      </w:r>
      <w:r w:rsidRPr="00C67D9A">
        <w:rPr>
          <w:rFonts w:asciiTheme="minorEastAsia" w:eastAsiaTheme="minorEastAsia" w:hAnsiTheme="minorEastAsia" w:cs="Calibri"/>
          <w:sz w:val="18"/>
          <w:szCs w:val="18"/>
        </w:rPr>
        <w:t>HK0420</w:t>
      </w:r>
      <w:r w:rsidRPr="00C67D9A">
        <w:rPr>
          <w:rFonts w:asciiTheme="minorEastAsia" w:eastAsiaTheme="minorEastAsia" w:hAnsiTheme="minorEastAsia" w:hint="eastAsia"/>
          <w:sz w:val="18"/>
          <w:szCs w:val="18"/>
        </w:rPr>
        <w:t>）</w:t>
      </w:r>
      <w:r w:rsidRPr="00C67D9A">
        <w:rPr>
          <w:rFonts w:asciiTheme="minorEastAsia" w:eastAsiaTheme="minorEastAsia" w:hAnsiTheme="minorEastAsia" w:cs="Calibri"/>
          <w:sz w:val="18"/>
          <w:szCs w:val="18"/>
        </w:rPr>
        <w:t>17.30%</w:t>
      </w:r>
      <w:r w:rsidRPr="00C67D9A">
        <w:rPr>
          <w:rFonts w:asciiTheme="minorEastAsia" w:eastAsiaTheme="minorEastAsia" w:hAnsiTheme="minorEastAsia" w:hint="eastAsia"/>
          <w:sz w:val="18"/>
          <w:szCs w:val="18"/>
        </w:rPr>
        <w:t>的股权及表决权。虽然该比例低于</w:t>
      </w:r>
      <w:r w:rsidRPr="00C67D9A">
        <w:rPr>
          <w:rFonts w:asciiTheme="minorEastAsia" w:eastAsiaTheme="minorEastAsia" w:hAnsiTheme="minorEastAsia" w:cs="Calibri"/>
          <w:sz w:val="18"/>
          <w:szCs w:val="18"/>
        </w:rPr>
        <w:t>20%</w:t>
      </w:r>
      <w:r w:rsidRPr="00C67D9A">
        <w:rPr>
          <w:rFonts w:asciiTheme="minorEastAsia" w:eastAsiaTheme="minorEastAsia" w:hAnsiTheme="minorEastAsia" w:hint="eastAsia"/>
          <w:sz w:val="18"/>
          <w:szCs w:val="18"/>
        </w:rPr>
        <w:t xml:space="preserve">，但由于本公司在福田实业董事会中派有代表并参与财务和经营政策的决策，所以本公司能够对福田实业施加重大影响。 </w:t>
      </w:r>
    </w:p>
    <w:p w:rsidR="00037019" w:rsidRDefault="00BE788E">
      <w:pPr>
        <w:pStyle w:val="3"/>
        <w:spacing w:line="280" w:lineRule="exact"/>
        <w:jc w:val="left"/>
        <w:rPr>
          <w:rFonts w:ascii="宋体" w:hAnsi="宋体" w:cs="宋体"/>
          <w:b/>
          <w:bCs/>
        </w:rPr>
      </w:pPr>
      <w:bookmarkStart w:id="125" w:name="_Toc989152"/>
      <w:r>
        <w:rPr>
          <w:rFonts w:ascii="宋体" w:hAnsi="宋体" w:cs="宋体"/>
          <w:b/>
          <w:bCs/>
        </w:rPr>
        <w:t>19、其他非流动金融资产</w:t>
      </w:r>
      <w:bookmarkEnd w:id="125"/>
    </w:p>
    <w:p w:rsidR="00BE788E" w:rsidRPr="00C67D9A" w:rsidRDefault="00BE788E" w:rsidP="00C67D9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26" w:name="_Toc989153"/>
      <w:r>
        <w:rPr>
          <w:rFonts w:ascii="宋体" w:hAnsi="宋体" w:cs="宋体"/>
          <w:b/>
          <w:bCs/>
        </w:rPr>
        <w:t>20、投资性房地产</w:t>
      </w:r>
      <w:bookmarkEnd w:id="126"/>
    </w:p>
    <w:p w:rsidR="00037019" w:rsidRDefault="00BE788E">
      <w:pPr>
        <w:keepNext/>
        <w:keepLines/>
        <w:spacing w:before="300" w:after="300" w:line="280" w:lineRule="exact"/>
        <w:outlineLvl w:val="3"/>
        <w:rPr>
          <w:rFonts w:ascii="宋体" w:eastAsia="宋体" w:hAnsi="宋体" w:cs="宋体"/>
          <w:b/>
          <w:bCs/>
          <w:sz w:val="18"/>
          <w:szCs w:val="18"/>
        </w:rPr>
      </w:pPr>
      <w:bookmarkStart w:id="127" w:name="_Toc989154"/>
      <w:r>
        <w:rPr>
          <w:rFonts w:ascii="宋体" w:eastAsia="宋体" w:hAnsi="宋体" w:cs="宋体"/>
          <w:b/>
          <w:bCs/>
          <w:sz w:val="18"/>
          <w:szCs w:val="18"/>
        </w:rPr>
        <w:t>（1） 采用成本计量模式的投资性房地产</w:t>
      </w:r>
      <w:bookmarkEnd w:id="127"/>
    </w:p>
    <w:p w:rsidR="00037019" w:rsidRDefault="00BE788E">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510"/>
        <w:gridCol w:w="1560"/>
        <w:gridCol w:w="1320"/>
        <w:gridCol w:w="1321"/>
        <w:gridCol w:w="1928"/>
      </w:tblGrid>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5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房屋、建筑物</w:t>
            </w:r>
          </w:p>
        </w:tc>
        <w:tc>
          <w:tcPr>
            <w:tcW w:w="13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土地使用权</w:t>
            </w:r>
          </w:p>
        </w:tc>
        <w:tc>
          <w:tcPr>
            <w:tcW w:w="132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在建工程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183,173,513.25</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183,173,513.25</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2,688,869.84</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2,688,869.84</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（1）外购</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111,692.28</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111,692.28</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（2）存货\固定资产\在建工程转入</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2,577,177.56</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2,577,177.56</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（3）企业合并增加</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1,928,003.79</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1,928,003.79</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（2）其他转出</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C67D9A">
            <w:pPr>
              <w:spacing w:line="240" w:lineRule="exact"/>
              <w:ind w:firstLineChars="400" w:firstLine="720"/>
              <w:rPr>
                <w:rFonts w:ascii="宋体" w:eastAsia="宋体" w:hAnsi="宋体" w:cs="宋体"/>
                <w:sz w:val="18"/>
                <w:szCs w:val="18"/>
              </w:rPr>
            </w:pPr>
            <w:r>
              <w:rPr>
                <w:rFonts w:ascii="宋体" w:eastAsia="宋体" w:hAnsi="宋体" w:cs="宋体"/>
                <w:sz w:val="18"/>
                <w:szCs w:val="18"/>
              </w:rPr>
              <w:t>（3）转自用房地产</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1,928,003.79</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1,928,003.79</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183,934,379.30</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183,934,379.30</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二、累计折旧和累计摊销</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50,470,684.23</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50,470,684.23</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11,619,915.67</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11,619,915.67</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（1）计提或摊销</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11,325,973.87</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11,325,973.87</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C67D9A">
            <w:pPr>
              <w:spacing w:line="240" w:lineRule="exact"/>
              <w:ind w:firstLineChars="400" w:firstLine="720"/>
              <w:rPr>
                <w:rFonts w:ascii="宋体" w:eastAsia="宋体" w:hAnsi="宋体" w:cs="宋体"/>
                <w:sz w:val="18"/>
                <w:szCs w:val="18"/>
              </w:rPr>
            </w:pPr>
            <w:r>
              <w:rPr>
                <w:rFonts w:ascii="宋体" w:eastAsia="宋体" w:hAnsi="宋体" w:cs="宋体"/>
                <w:sz w:val="18"/>
                <w:szCs w:val="18"/>
              </w:rPr>
              <w:t>（2）固定资产转入</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293,941.80</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293,941.80</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441,701.70</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441,701.70</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（2）其他转出</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C67D9A">
            <w:pPr>
              <w:spacing w:line="240" w:lineRule="exact"/>
              <w:ind w:firstLineChars="400" w:firstLine="720"/>
              <w:rPr>
                <w:rFonts w:ascii="宋体" w:eastAsia="宋体" w:hAnsi="宋体" w:cs="宋体"/>
                <w:sz w:val="18"/>
                <w:szCs w:val="18"/>
              </w:rPr>
            </w:pPr>
            <w:r>
              <w:rPr>
                <w:rFonts w:ascii="宋体" w:eastAsia="宋体" w:hAnsi="宋体" w:cs="宋体"/>
                <w:sz w:val="18"/>
                <w:szCs w:val="18"/>
              </w:rPr>
              <w:t>（3）转自用房地产</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441,701.70</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441,701.70</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61,648,898.20</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61,648,898.20</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三、减值准备</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（2）其他转出</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122,285,481.10</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122,285,481.10</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132,702,829.02</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132,702,829.02</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可收回金额按公允价值减去处置费用后的净额确定</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0B4C2A" w:rsidRDefault="00BE788E" w:rsidP="000B4C2A">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r w:rsidR="000B4C2A">
        <w:rPr>
          <w:rFonts w:ascii="宋体" w:eastAsia="宋体" w:hAnsi="宋体" w:cs="宋体" w:hint="eastAsia"/>
          <w:sz w:val="18"/>
          <w:szCs w:val="18"/>
        </w:rPr>
        <w:t>：</w:t>
      </w:r>
      <w:r>
        <w:rPr>
          <w:rFonts w:hint="eastAsia"/>
          <w:sz w:val="18"/>
          <w:szCs w:val="18"/>
        </w:rPr>
        <w:t>无。</w:t>
      </w:r>
    </w:p>
    <w:p w:rsidR="00BE788E" w:rsidRPr="000B4C2A" w:rsidRDefault="00BE788E" w:rsidP="000B4C2A">
      <w:pPr>
        <w:spacing w:before="100" w:after="100" w:line="240" w:lineRule="exact"/>
        <w:rPr>
          <w:rFonts w:ascii="宋体" w:eastAsia="宋体" w:hAnsi="宋体" w:cs="宋体"/>
          <w:sz w:val="18"/>
          <w:szCs w:val="18"/>
        </w:rPr>
      </w:pPr>
      <w:r>
        <w:rPr>
          <w:rFonts w:ascii="宋体" w:eastAsia="宋体" w:hAnsi="宋体" w:cs="宋体"/>
          <w:sz w:val="18"/>
          <w:szCs w:val="18"/>
        </w:rPr>
        <w:t>公司以前年度减值测试采用信息与当年实际情况明显不一致的差异原因</w:t>
      </w:r>
      <w:r w:rsidR="000B4C2A">
        <w:rPr>
          <w:rFonts w:ascii="宋体" w:eastAsia="宋体" w:hAnsi="宋体" w:cs="宋体" w:hint="eastAsia"/>
          <w:sz w:val="18"/>
          <w:szCs w:val="18"/>
        </w:rPr>
        <w:t>：</w:t>
      </w:r>
      <w:r>
        <w:rPr>
          <w:rFonts w:hint="eastAsia"/>
          <w:sz w:val="18"/>
          <w:szCs w:val="18"/>
        </w:rPr>
        <w:t>无。</w:t>
      </w:r>
    </w:p>
    <w:p w:rsidR="00BE788E" w:rsidRPr="000B4C2A" w:rsidRDefault="00BE788E" w:rsidP="000B4C2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128" w:name="_Toc989155"/>
      <w:r>
        <w:rPr>
          <w:rFonts w:ascii="宋体" w:eastAsia="宋体" w:hAnsi="宋体" w:cs="宋体"/>
          <w:b/>
          <w:bCs/>
          <w:sz w:val="18"/>
          <w:szCs w:val="18"/>
        </w:rPr>
        <w:t>（2） 采用公允价值计量模式的投资性房地产</w:t>
      </w:r>
      <w:bookmarkEnd w:id="128"/>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 w:val="18"/>
          <w:szCs w:val="18"/>
        </w:rPr>
      </w:pPr>
      <w:bookmarkStart w:id="129" w:name="_Toc989156"/>
      <w:r>
        <w:rPr>
          <w:rFonts w:ascii="宋体" w:eastAsia="宋体" w:hAnsi="宋体" w:cs="宋体"/>
          <w:b/>
          <w:bCs/>
          <w:sz w:val="18"/>
          <w:szCs w:val="18"/>
        </w:rPr>
        <w:t>（3） 转换为投资性房地产并采用公允价值计量</w:t>
      </w:r>
      <w:bookmarkEnd w:id="129"/>
    </w:p>
    <w:p w:rsidR="000B4C2A" w:rsidRDefault="000B4C2A">
      <w:pPr>
        <w:keepNext/>
        <w:keepLines/>
        <w:spacing w:before="300" w:after="300" w:line="280" w:lineRule="exact"/>
        <w:outlineLvl w:val="3"/>
        <w:rPr>
          <w:rFonts w:ascii="宋体" w:eastAsia="宋体" w:hAnsi="宋体" w:cs="宋体"/>
          <w:sz w:val="18"/>
          <w:szCs w:val="18"/>
        </w:rPr>
      </w:pPr>
      <w:bookmarkStart w:id="130" w:name="_Toc989157"/>
      <w:r>
        <w:rPr>
          <w:rFonts w:ascii="宋体" w:eastAsia="宋体" w:hAnsi="宋体" w:cs="宋体" w:hint="eastAsia"/>
          <w:sz w:val="18"/>
          <w:szCs w:val="18"/>
        </w:rPr>
        <w:t>无</w:t>
      </w:r>
    </w:p>
    <w:p w:rsidR="00037019" w:rsidRDefault="000B4C2A">
      <w:pPr>
        <w:keepNext/>
        <w:keepLines/>
        <w:spacing w:before="300" w:after="300" w:line="280" w:lineRule="exact"/>
        <w:outlineLvl w:val="3"/>
        <w:rPr>
          <w:rFonts w:ascii="宋体" w:eastAsia="宋体" w:hAnsi="宋体" w:cs="宋体"/>
          <w:b/>
          <w:bCs/>
          <w:sz w:val="18"/>
          <w:szCs w:val="18"/>
        </w:rPr>
      </w:pPr>
      <w:r>
        <w:rPr>
          <w:rFonts w:ascii="宋体" w:eastAsia="宋体" w:hAnsi="宋体" w:cs="宋体"/>
          <w:b/>
          <w:bCs/>
          <w:sz w:val="18"/>
          <w:szCs w:val="18"/>
        </w:rPr>
        <w:t>（4） 未办妥产权证书的投资性房地产情况</w:t>
      </w:r>
      <w:bookmarkEnd w:id="130"/>
    </w:p>
    <w:p w:rsidR="00BE788E" w:rsidRDefault="00BE788E">
      <w:pPr>
        <w:pStyle w:val="a3"/>
        <w:divId w:val="259677499"/>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131" w:name="_Toc989158"/>
      <w:r>
        <w:rPr>
          <w:rFonts w:ascii="宋体" w:hAnsi="宋体" w:cs="宋体"/>
          <w:b/>
          <w:bCs/>
        </w:rPr>
        <w:t>21、固定资产</w:t>
      </w:r>
      <w:bookmarkEnd w:id="13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4,584,512,834.56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4,675,330,489.40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固定资产清理</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397,159.41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505,206.74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4,584,909,993.97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4,675,835,696.14</w:t>
            </w:r>
          </w:p>
        </w:tc>
      </w:tr>
    </w:tbl>
    <w:p w:rsidR="00037019" w:rsidRDefault="00BE788E">
      <w:pPr>
        <w:keepNext/>
        <w:keepLines/>
        <w:spacing w:before="300" w:after="300" w:line="280" w:lineRule="exact"/>
        <w:outlineLvl w:val="3"/>
        <w:rPr>
          <w:rFonts w:ascii="宋体" w:eastAsia="宋体" w:hAnsi="宋体" w:cs="宋体"/>
          <w:b/>
          <w:bCs/>
          <w:szCs w:val="21"/>
        </w:rPr>
      </w:pPr>
      <w:bookmarkStart w:id="132" w:name="_Toc989159"/>
      <w:r>
        <w:rPr>
          <w:rFonts w:ascii="宋体" w:eastAsia="宋体" w:hAnsi="宋体" w:cs="宋体"/>
          <w:b/>
          <w:bCs/>
          <w:szCs w:val="21"/>
        </w:rPr>
        <w:t>（1） 固定资产情况</w:t>
      </w:r>
      <w:bookmarkEnd w:id="132"/>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房屋及建筑物</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机器设备</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运输工具</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电子及其他设备</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lastRenderedPageBreak/>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3,404,881,727.25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5,004,502,756.96</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54,135,296.47</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208,470,648.28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8,671,990,428.96</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-6,099,518.26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6,288,877.45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1,407,687.71</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189,689,068.95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191,286,115.85</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（1）购置</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3,932,658.15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25,426,209.75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1,655,885.03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189,822,770.70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220,837,523.63</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（2）在建工程转入</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3,796,539.73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5,304,153.65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9,100,693.38</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（3）企业合并增加</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（4）投资性房地产转入</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1,928,003.79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1,928,003.79</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（5）外币折算差额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-15,756,719.93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-24,441,485.95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-248,197.32</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-133,701.75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-40,580,104.95</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16,020,223.42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66,268,096.94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712,610.56</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2,879,341.18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85,880,272.10</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13,443,045.86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66,268,096.94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712,610.56</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2,879,341.18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83,303,094.54</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（2）转入投资性房地产</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2,577,177.56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2,577,177.56</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3,382,761,985.57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4,944,523,537.47</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54,830,373.62</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395,280,376.05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8,777,396,272.71</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二、累计折旧</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1,078,953,226.88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2,636,151,263.47</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41,579,191.34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203,284,511.43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3,959,968,193.12</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55,972,057.29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188,477,990.31</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1,234,484.58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9,453,444.54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255,137,976.72</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61,828,016.52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179,450,887.66</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1,420,879.64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9,577,176.99</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252,276,960.81</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（2)外币折算差异</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-5,855,959.23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9,027,102.65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-186,395.06</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-123,732.45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2,861,015.91</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6,208,335.05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47,395,366.44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646,700.49</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2,337,707.80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56,588,109.78</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5,914,393.25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47,395,366.44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646,700.49</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2,337,707.80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56,294,167.98</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（2）转入投资性房地产</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293,941.80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293,941.80</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1,128,716,949.12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2,777,233,887.34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42,166,975.43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210,400,248.17</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4,158,518,060.06</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27,855,790.59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8,627,892.74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38,569.60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169,493.51</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36,691,746.44</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2,252,220.82</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74,147.53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2,326,368.35</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2,252,220.82</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74,147.53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2,326,368.35</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27,855,790.59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6,375,671.92</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38,569.60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95,345.98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34,365,378.09</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四、账面价值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2,226,189,245.86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2,160,913,978.21</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12,624,828.59</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184,784,781.90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4,584,512,834.56</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2,298,072,709.78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2,359,723,600.75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12,517,535.53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5,016,643.34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4,675,330,489.40</w:t>
            </w:r>
          </w:p>
        </w:tc>
      </w:tr>
    </w:tbl>
    <w:p w:rsidR="00037019" w:rsidRDefault="00BE788E">
      <w:pPr>
        <w:keepNext/>
        <w:keepLines/>
        <w:spacing w:before="300" w:after="300" w:line="280" w:lineRule="exact"/>
        <w:outlineLvl w:val="3"/>
        <w:rPr>
          <w:rFonts w:ascii="宋体" w:eastAsia="宋体" w:hAnsi="宋体" w:cs="宋体"/>
          <w:b/>
          <w:bCs/>
          <w:szCs w:val="21"/>
        </w:rPr>
      </w:pPr>
      <w:bookmarkStart w:id="133" w:name="_Toc989160"/>
      <w:r>
        <w:rPr>
          <w:rFonts w:ascii="宋体" w:eastAsia="宋体" w:hAnsi="宋体" w:cs="宋体"/>
          <w:b/>
          <w:bCs/>
          <w:szCs w:val="21"/>
        </w:rPr>
        <w:t>（2） 暂时闲置的固定资产情况</w:t>
      </w:r>
      <w:bookmarkEnd w:id="13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账面原值</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累计折旧</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备注</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房屋及建筑物</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161,106,351.18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75,123,131.24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10,396,005.23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75,587,214.71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机器设备</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111,445,480.85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93,642,585.06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1,184,147.51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16,618,748.28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运输设备</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4,674,661.69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4,042,682.74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631,978.95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电子及其他设备</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11,285,126.25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10,115,014.97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1,836.51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1,168,274.77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288,511,619.97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182,923,414.01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11,581,989.25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94,006,216.71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bl>
    <w:p w:rsidR="00037019" w:rsidRDefault="00BE788E">
      <w:pPr>
        <w:keepNext/>
        <w:keepLines/>
        <w:spacing w:before="300" w:after="300" w:line="280" w:lineRule="exact"/>
        <w:outlineLvl w:val="3"/>
        <w:rPr>
          <w:rFonts w:ascii="宋体" w:eastAsia="宋体" w:hAnsi="宋体" w:cs="宋体"/>
          <w:b/>
          <w:bCs/>
          <w:szCs w:val="21"/>
        </w:rPr>
      </w:pPr>
      <w:bookmarkStart w:id="134" w:name="_Toc989161"/>
      <w:r>
        <w:rPr>
          <w:rFonts w:ascii="宋体" w:eastAsia="宋体" w:hAnsi="宋体" w:cs="宋体"/>
          <w:b/>
          <w:bCs/>
          <w:szCs w:val="21"/>
        </w:rPr>
        <w:t>（3） 通过经营租赁租出的固定资产</w:t>
      </w:r>
      <w:bookmarkEnd w:id="134"/>
    </w:p>
    <w:p w:rsidR="000B4C2A" w:rsidRDefault="000B4C2A">
      <w:pPr>
        <w:keepNext/>
        <w:keepLines/>
        <w:spacing w:before="300" w:after="300" w:line="280" w:lineRule="exact"/>
        <w:outlineLvl w:val="3"/>
        <w:rPr>
          <w:rFonts w:ascii="宋体" w:eastAsia="宋体" w:hAnsi="宋体" w:cs="宋体"/>
          <w:sz w:val="18"/>
          <w:szCs w:val="18"/>
        </w:rPr>
      </w:pPr>
      <w:bookmarkStart w:id="135" w:name="_Toc989162"/>
      <w:r>
        <w:rPr>
          <w:rFonts w:ascii="宋体" w:eastAsia="宋体" w:hAnsi="宋体" w:cs="宋体" w:hint="eastAsia"/>
          <w:sz w:val="18"/>
          <w:szCs w:val="18"/>
        </w:rPr>
        <w:t>无</w:t>
      </w:r>
    </w:p>
    <w:p w:rsidR="00037019" w:rsidRDefault="000B4C2A">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（4） 未办妥产权证书的固定资产情况</w:t>
      </w:r>
      <w:bookmarkEnd w:id="13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未办妥产权证书的原因</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房屋及建筑物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94,938,199.16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rsidP="000B4C2A">
            <w:pPr>
              <w:spacing w:line="240" w:lineRule="exact"/>
              <w:jc w:val="right"/>
              <w:rPr>
                <w:rFonts w:ascii="宋体" w:eastAsia="宋体" w:hAnsi="宋体" w:cs="宋体"/>
                <w:sz w:val="18"/>
                <w:szCs w:val="18"/>
              </w:rPr>
            </w:pPr>
            <w:r>
              <w:rPr>
                <w:rFonts w:ascii="宋体" w:eastAsia="宋体" w:hAnsi="宋体" w:cs="宋体"/>
                <w:sz w:val="18"/>
                <w:szCs w:val="18"/>
              </w:rPr>
              <w:t> 尚在办理中</w:t>
            </w:r>
          </w:p>
        </w:tc>
      </w:tr>
    </w:tbl>
    <w:p w:rsidR="00BE788E" w:rsidRPr="000B4C2A" w:rsidRDefault="00BE788E" w:rsidP="000B4C2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0B4C2A">
        <w:rPr>
          <w:rFonts w:ascii="宋体" w:eastAsia="宋体" w:hAnsi="宋体" w:cs="宋体" w:hint="eastAsia"/>
          <w:sz w:val="18"/>
          <w:szCs w:val="18"/>
        </w:rPr>
        <w:t>：</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136" w:name="_Toc989163"/>
      <w:r>
        <w:rPr>
          <w:rFonts w:ascii="宋体" w:eastAsia="宋体" w:hAnsi="宋体" w:cs="宋体"/>
          <w:b/>
          <w:bCs/>
          <w:szCs w:val="21"/>
        </w:rPr>
        <w:t>（5） 固定资产的减值测试情况</w:t>
      </w:r>
      <w:bookmarkEnd w:id="136"/>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137" w:name="_Toc989164"/>
      <w:r>
        <w:rPr>
          <w:rFonts w:ascii="宋体" w:eastAsia="宋体" w:hAnsi="宋体" w:cs="宋体"/>
          <w:b/>
          <w:bCs/>
          <w:szCs w:val="21"/>
        </w:rPr>
        <w:t>（6） 固定资产清理</w:t>
      </w:r>
      <w:bookmarkEnd w:id="13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0B4C2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0B4C2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待处理设备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397,159.41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505,206.74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397,159.41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505,206.74</w:t>
            </w:r>
          </w:p>
        </w:tc>
      </w:tr>
    </w:tbl>
    <w:p w:rsidR="00BE788E" w:rsidRPr="000B4C2A" w:rsidRDefault="00BE788E" w:rsidP="000B4C2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38" w:name="_Toc989165"/>
      <w:r>
        <w:rPr>
          <w:rFonts w:ascii="宋体" w:hAnsi="宋体" w:cs="宋体"/>
          <w:b/>
          <w:bCs/>
        </w:rPr>
        <w:t>22、在建工程</w:t>
      </w:r>
      <w:bookmarkEnd w:id="13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753,175,787.42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475,059,478.07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753,175,787.42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475,059,478.07</w:t>
            </w:r>
          </w:p>
        </w:tc>
      </w:tr>
    </w:tbl>
    <w:p w:rsidR="00037019" w:rsidRDefault="00BE788E">
      <w:pPr>
        <w:keepNext/>
        <w:keepLines/>
        <w:spacing w:before="300" w:after="300" w:line="280" w:lineRule="exact"/>
        <w:outlineLvl w:val="3"/>
        <w:rPr>
          <w:rFonts w:ascii="宋体" w:eastAsia="宋体" w:hAnsi="宋体" w:cs="宋体"/>
          <w:b/>
          <w:bCs/>
          <w:szCs w:val="21"/>
        </w:rPr>
      </w:pPr>
      <w:bookmarkStart w:id="139" w:name="_Toc989166"/>
      <w:r>
        <w:rPr>
          <w:rFonts w:ascii="宋体" w:eastAsia="宋体" w:hAnsi="宋体" w:cs="宋体"/>
          <w:b/>
          <w:bCs/>
          <w:szCs w:val="21"/>
        </w:rPr>
        <w:lastRenderedPageBreak/>
        <w:t>（1） 在建工程情况</w:t>
      </w:r>
      <w:bookmarkEnd w:id="13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浙江色纺二期项目</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1,109,577.56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1,109,577.56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500,273.98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500,273.98</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阿克苏华孚在建工程</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6,707,529.88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6,707,529.88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6,157,463.51</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6,157,463.51</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越南华孚在建工程</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8,202,836.45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8,202,836.45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9,400,926.15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9,400,926.15</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标信在建</w:t>
            </w:r>
            <w:proofErr w:type="gramEnd"/>
            <w:r>
              <w:rPr>
                <w:rFonts w:ascii="宋体" w:eastAsia="宋体" w:hAnsi="宋体" w:cs="宋体"/>
                <w:sz w:val="18"/>
                <w:szCs w:val="18"/>
              </w:rPr>
              <w:t>工程</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7,166,091.81</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7,166,091.81</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1,708,115.28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1,708,115.28</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其他项目</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4,912,334.75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4,912,334.75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2,176,237.12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2,176,237.12</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w:t>
            </w:r>
            <w:proofErr w:type="gramStart"/>
            <w:r>
              <w:rPr>
                <w:rFonts w:ascii="宋体" w:eastAsia="宋体" w:hAnsi="宋体" w:cs="宋体"/>
                <w:sz w:val="18"/>
                <w:szCs w:val="18"/>
              </w:rPr>
              <w:t>英鸿工业</w:t>
            </w:r>
            <w:proofErr w:type="gramEnd"/>
            <w:r>
              <w:rPr>
                <w:rFonts w:ascii="宋体" w:eastAsia="宋体" w:hAnsi="宋体" w:cs="宋体"/>
                <w:sz w:val="18"/>
                <w:szCs w:val="18"/>
              </w:rPr>
              <w:t>园建设项目</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229,178,525.73</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229,178,525.73</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225,741,886.91</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225,741,886.91</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阿大数字</w:t>
            </w:r>
            <w:proofErr w:type="gramStart"/>
            <w:r>
              <w:rPr>
                <w:rFonts w:ascii="宋体" w:eastAsia="宋体" w:hAnsi="宋体" w:cs="宋体"/>
                <w:sz w:val="18"/>
                <w:szCs w:val="18"/>
              </w:rPr>
              <w:t>袜</w:t>
            </w:r>
            <w:proofErr w:type="gramEnd"/>
            <w:r>
              <w:rPr>
                <w:rFonts w:ascii="宋体" w:eastAsia="宋体" w:hAnsi="宋体" w:cs="宋体"/>
                <w:sz w:val="18"/>
                <w:szCs w:val="18"/>
              </w:rPr>
              <w:t>制品生产车间</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95,068,242.67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95,068,242.67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87,636,583.39</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87,636,583.39</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30万锭智能产业园项目</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123,766,428.39</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123,766,428.39</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141,737,991.73</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141,737,991.73</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上虞时尚总部物业</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277,064,220.18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277,064,220.18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753,175,787.42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753,175,787.42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475,059,478.07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475,059,478.07</w:t>
            </w:r>
          </w:p>
        </w:tc>
      </w:tr>
    </w:tbl>
    <w:p w:rsidR="00037019" w:rsidRDefault="00BE788E">
      <w:pPr>
        <w:keepNext/>
        <w:keepLines/>
        <w:spacing w:before="300" w:after="300" w:line="280" w:lineRule="exact"/>
        <w:outlineLvl w:val="3"/>
        <w:rPr>
          <w:rFonts w:ascii="宋体" w:eastAsia="宋体" w:hAnsi="宋体" w:cs="宋体"/>
          <w:b/>
          <w:bCs/>
          <w:szCs w:val="21"/>
        </w:rPr>
      </w:pPr>
      <w:bookmarkStart w:id="140" w:name="_Toc989167"/>
      <w:r>
        <w:rPr>
          <w:rFonts w:ascii="宋体" w:eastAsia="宋体" w:hAnsi="宋体" w:cs="宋体"/>
          <w:b/>
          <w:bCs/>
          <w:szCs w:val="21"/>
        </w:rPr>
        <w:t>（2） 重要在建工程项目本期变动情况</w:t>
      </w:r>
      <w:bookmarkEnd w:id="14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2"/>
        <w:gridCol w:w="742"/>
        <w:gridCol w:w="742"/>
        <w:gridCol w:w="742"/>
        <w:gridCol w:w="742"/>
        <w:gridCol w:w="742"/>
        <w:gridCol w:w="741"/>
        <w:gridCol w:w="741"/>
        <w:gridCol w:w="741"/>
        <w:gridCol w:w="741"/>
        <w:gridCol w:w="741"/>
        <w:gridCol w:w="741"/>
        <w:gridCol w:w="741"/>
      </w:tblGrid>
      <w:tr w:rsidR="00037019" w:rsidTr="00AF3B62">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预算数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本期转入固定资产金额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本期其他减少金额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工程累计投入占预算比例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工程进度</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利息资本化累计金额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其中：本期利息资本</w:t>
            </w:r>
            <w:proofErr w:type="gramStart"/>
            <w:r>
              <w:rPr>
                <w:rFonts w:ascii="宋体" w:eastAsia="宋体" w:hAnsi="宋体" w:cs="宋体"/>
                <w:sz w:val="18"/>
                <w:szCs w:val="18"/>
              </w:rPr>
              <w:t>化金额</w:t>
            </w:r>
            <w:proofErr w:type="gramEnd"/>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本期利息资本化率</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资金来源</w:t>
            </w:r>
          </w:p>
        </w:tc>
      </w:tr>
      <w:tr w:rsidR="00037019" w:rsidTr="00AF3B62">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w:t>
            </w:r>
            <w:proofErr w:type="gramStart"/>
            <w:r>
              <w:rPr>
                <w:rFonts w:ascii="宋体" w:eastAsia="宋体" w:hAnsi="宋体" w:cs="宋体"/>
                <w:sz w:val="18"/>
                <w:szCs w:val="18"/>
              </w:rPr>
              <w:t>英鸿工业</w:t>
            </w:r>
            <w:proofErr w:type="gramEnd"/>
            <w:r>
              <w:rPr>
                <w:rFonts w:ascii="宋体" w:eastAsia="宋体" w:hAnsi="宋体" w:cs="宋体"/>
                <w:sz w:val="18"/>
                <w:szCs w:val="18"/>
              </w:rPr>
              <w:t>园建设项目</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356,730,000.00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225,741,886.91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3,436,638.82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229,178,525.73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88.37%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88.37%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r>
      <w:tr w:rsidR="00037019" w:rsidTr="00AF3B62">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30万锭智能产业园项目</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788,462,769.35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141,737,991.73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17,916,854.18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35,888,417.52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123,766,428.39</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93.94%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93.94%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8,539,824.63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8,539,824.63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募集资金</w:t>
            </w:r>
          </w:p>
        </w:tc>
      </w:tr>
      <w:tr w:rsidR="00037019" w:rsidTr="00AF3B62">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袜</w:t>
            </w:r>
            <w:proofErr w:type="gramEnd"/>
            <w:r>
              <w:rPr>
                <w:rFonts w:ascii="宋体" w:eastAsia="宋体" w:hAnsi="宋体" w:cs="宋体"/>
                <w:sz w:val="18"/>
                <w:szCs w:val="18"/>
              </w:rPr>
              <w:t>制品生产车间</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134,620,750.88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87,636,583.39</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7,431,659.28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95,068,242.67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85.00%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85.00%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r>
      <w:tr w:rsidR="00037019" w:rsidTr="00AF3B62">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上虞时尚总部</w:t>
            </w:r>
            <w:r>
              <w:rPr>
                <w:rFonts w:ascii="宋体" w:eastAsia="宋体" w:hAnsi="宋体" w:cs="宋体"/>
                <w:sz w:val="18"/>
                <w:szCs w:val="18"/>
              </w:rPr>
              <w:lastRenderedPageBreak/>
              <w:t>物业</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302,000,000.00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277,064,220.18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277,064,220.18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91.74%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91.74%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r>
      <w:tr w:rsidR="00037019">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1,581,813,520.23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455,116,462.03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305,849,372.46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35,888,417.52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725,077,416.97</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8,539,824.63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8,539,824.63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4.20%</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bl>
    <w:p w:rsidR="00037019" w:rsidRDefault="00BE788E">
      <w:pPr>
        <w:keepNext/>
        <w:keepLines/>
        <w:spacing w:before="300" w:after="300" w:line="280" w:lineRule="exact"/>
        <w:outlineLvl w:val="3"/>
        <w:rPr>
          <w:rFonts w:ascii="宋体" w:eastAsia="宋体" w:hAnsi="宋体" w:cs="宋体"/>
          <w:b/>
          <w:bCs/>
          <w:szCs w:val="21"/>
        </w:rPr>
      </w:pPr>
      <w:bookmarkStart w:id="141" w:name="_Toc989168"/>
      <w:r>
        <w:rPr>
          <w:rFonts w:ascii="宋体" w:eastAsia="宋体" w:hAnsi="宋体" w:cs="宋体"/>
          <w:b/>
          <w:bCs/>
          <w:szCs w:val="21"/>
        </w:rPr>
        <w:t>（3） 本期计提在建工程减值准备情况</w:t>
      </w:r>
      <w:bookmarkEnd w:id="141"/>
    </w:p>
    <w:p w:rsidR="00BE788E" w:rsidRPr="00AF3B62" w:rsidRDefault="00BE788E" w:rsidP="00AF3B62">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F3B62">
        <w:rPr>
          <w:rFonts w:ascii="宋体" w:eastAsia="宋体" w:hAnsi="宋体" w:cs="宋体" w:hint="eastAsia"/>
          <w:sz w:val="18"/>
          <w:szCs w:val="18"/>
        </w:rPr>
        <w:t>：</w:t>
      </w:r>
      <w:r>
        <w:rPr>
          <w:rFonts w:hint="eastAsia"/>
          <w:sz w:val="18"/>
          <w:szCs w:val="18"/>
        </w:rPr>
        <w:t>公司认为期末在建工程未出现可收回金额低于账面价值的情形，故未计提减值准备。</w:t>
      </w:r>
    </w:p>
    <w:p w:rsidR="00037019" w:rsidRDefault="00BE788E">
      <w:pPr>
        <w:keepNext/>
        <w:keepLines/>
        <w:spacing w:before="300" w:after="300" w:line="280" w:lineRule="exact"/>
        <w:outlineLvl w:val="3"/>
        <w:rPr>
          <w:rFonts w:ascii="宋体" w:eastAsia="宋体" w:hAnsi="宋体" w:cs="宋体"/>
          <w:b/>
          <w:bCs/>
          <w:szCs w:val="21"/>
        </w:rPr>
      </w:pPr>
      <w:bookmarkStart w:id="142" w:name="_Toc989169"/>
      <w:r>
        <w:rPr>
          <w:rFonts w:ascii="宋体" w:eastAsia="宋体" w:hAnsi="宋体" w:cs="宋体"/>
          <w:b/>
          <w:bCs/>
          <w:szCs w:val="21"/>
        </w:rPr>
        <w:t>（4） 在建工程的减值测试情况</w:t>
      </w:r>
      <w:bookmarkEnd w:id="14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143" w:name="_Toc989170"/>
      <w:r>
        <w:rPr>
          <w:rFonts w:ascii="宋体" w:eastAsia="宋体" w:hAnsi="宋体" w:cs="宋体"/>
          <w:b/>
          <w:bCs/>
          <w:szCs w:val="21"/>
        </w:rPr>
        <w:t>（5） 工程物资</w:t>
      </w:r>
      <w:bookmarkEnd w:id="143"/>
    </w:p>
    <w:p w:rsidR="00BE788E" w:rsidRPr="00AF3B62" w:rsidRDefault="00BE788E" w:rsidP="00AF3B62">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44" w:name="_Toc989171"/>
      <w:r>
        <w:rPr>
          <w:rFonts w:ascii="宋体" w:hAnsi="宋体" w:cs="宋体"/>
          <w:b/>
          <w:bCs/>
        </w:rPr>
        <w:t>23、生产性生物资产</w:t>
      </w:r>
      <w:bookmarkEnd w:id="144"/>
    </w:p>
    <w:p w:rsidR="00037019" w:rsidRDefault="00BE788E">
      <w:pPr>
        <w:keepNext/>
        <w:keepLines/>
        <w:spacing w:before="300" w:after="300" w:line="280" w:lineRule="exact"/>
        <w:outlineLvl w:val="3"/>
        <w:rPr>
          <w:rFonts w:ascii="宋体" w:eastAsia="宋体" w:hAnsi="宋体" w:cs="宋体"/>
          <w:b/>
          <w:bCs/>
          <w:szCs w:val="21"/>
        </w:rPr>
      </w:pPr>
      <w:bookmarkStart w:id="145" w:name="_Toc989172"/>
      <w:r>
        <w:rPr>
          <w:rFonts w:ascii="宋体" w:eastAsia="宋体" w:hAnsi="宋体" w:cs="宋体"/>
          <w:b/>
          <w:bCs/>
          <w:szCs w:val="21"/>
        </w:rPr>
        <w:t>（1） 采用成本计量模式的生产性生物资产</w:t>
      </w:r>
      <w:bookmarkEnd w:id="145"/>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146" w:name="_Toc989173"/>
      <w:r>
        <w:rPr>
          <w:rFonts w:ascii="宋体" w:eastAsia="宋体" w:hAnsi="宋体" w:cs="宋体"/>
          <w:b/>
          <w:bCs/>
          <w:szCs w:val="21"/>
        </w:rPr>
        <w:t>（2） 采用成本计量模式的生产性生物资产的减值测试情况</w:t>
      </w:r>
      <w:bookmarkEnd w:id="146"/>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147" w:name="_Toc989174"/>
      <w:r>
        <w:rPr>
          <w:rFonts w:ascii="宋体" w:eastAsia="宋体" w:hAnsi="宋体" w:cs="宋体"/>
          <w:b/>
          <w:bCs/>
          <w:szCs w:val="21"/>
        </w:rPr>
        <w:t>（3） 采用公允价值计量模式的生产性生物资产</w:t>
      </w:r>
      <w:bookmarkEnd w:id="147"/>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148" w:name="_Toc989175"/>
      <w:r>
        <w:rPr>
          <w:rFonts w:ascii="宋体" w:hAnsi="宋体" w:cs="宋体"/>
          <w:b/>
          <w:bCs/>
        </w:rPr>
        <w:t>24、油气资产</w:t>
      </w:r>
      <w:bookmarkEnd w:id="148"/>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149" w:name="_Toc989176"/>
      <w:r>
        <w:rPr>
          <w:rFonts w:ascii="宋体" w:hAnsi="宋体" w:cs="宋体"/>
          <w:b/>
          <w:bCs/>
        </w:rPr>
        <w:t>25、使用权资产</w:t>
      </w:r>
      <w:bookmarkEnd w:id="149"/>
    </w:p>
    <w:p w:rsidR="00037019" w:rsidRDefault="00BE788E">
      <w:pPr>
        <w:keepNext/>
        <w:keepLines/>
        <w:spacing w:before="300" w:after="300" w:line="280" w:lineRule="exact"/>
        <w:outlineLvl w:val="3"/>
        <w:rPr>
          <w:rFonts w:ascii="宋体" w:eastAsia="宋体" w:hAnsi="宋体" w:cs="宋体"/>
          <w:b/>
          <w:bCs/>
          <w:szCs w:val="21"/>
        </w:rPr>
      </w:pPr>
      <w:bookmarkStart w:id="150" w:name="_Toc989177"/>
      <w:r>
        <w:rPr>
          <w:rFonts w:ascii="宋体" w:eastAsia="宋体" w:hAnsi="宋体" w:cs="宋体"/>
          <w:b/>
          <w:bCs/>
          <w:szCs w:val="21"/>
        </w:rPr>
        <w:t>（1） 使用权资产情况</w:t>
      </w:r>
      <w:bookmarkEnd w:id="15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房屋及建筑物</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机器设备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43,803,123.35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715,358.08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44,518,481.43</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43,803,123.35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715,358.08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44,518,481.43</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二、累计折旧</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lastRenderedPageBreak/>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17,034,000.92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240,681.24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17,274,682.16</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4,410,341.90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4,410,341.90</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4,410,341.90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4,410,341.90</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21,444,342.82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240,681.24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21,685,024.06</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22,358,780.53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474,676.84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22,833,457.37</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26,769,122.43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474,676.84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27,243,799.27</w:t>
            </w:r>
          </w:p>
        </w:tc>
      </w:tr>
    </w:tbl>
    <w:p w:rsidR="00037019" w:rsidRDefault="00BE788E">
      <w:pPr>
        <w:keepNext/>
        <w:keepLines/>
        <w:spacing w:before="300" w:after="300" w:line="280" w:lineRule="exact"/>
        <w:outlineLvl w:val="3"/>
        <w:rPr>
          <w:rFonts w:ascii="宋体" w:eastAsia="宋体" w:hAnsi="宋体" w:cs="宋体"/>
          <w:b/>
          <w:bCs/>
          <w:szCs w:val="21"/>
        </w:rPr>
      </w:pPr>
      <w:bookmarkStart w:id="151" w:name="_Toc989178"/>
      <w:r>
        <w:rPr>
          <w:rFonts w:ascii="宋体" w:eastAsia="宋体" w:hAnsi="宋体" w:cs="宋体"/>
          <w:b/>
          <w:bCs/>
          <w:szCs w:val="21"/>
        </w:rPr>
        <w:t>（2） 使用权资产的减值测试情况</w:t>
      </w:r>
      <w:bookmarkEnd w:id="15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AF3B62" w:rsidRDefault="00BE788E" w:rsidP="00AF3B62">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52" w:name="_Toc989179"/>
      <w:r>
        <w:rPr>
          <w:rFonts w:ascii="宋体" w:hAnsi="宋体" w:cs="宋体"/>
          <w:b/>
          <w:bCs/>
        </w:rPr>
        <w:t>26、无形资产</w:t>
      </w:r>
      <w:bookmarkEnd w:id="152"/>
    </w:p>
    <w:p w:rsidR="00037019" w:rsidRDefault="00BE788E">
      <w:pPr>
        <w:keepNext/>
        <w:keepLines/>
        <w:spacing w:before="300" w:after="300" w:line="280" w:lineRule="exact"/>
        <w:outlineLvl w:val="3"/>
        <w:rPr>
          <w:rFonts w:ascii="宋体" w:eastAsia="宋体" w:hAnsi="宋体" w:cs="宋体"/>
          <w:b/>
          <w:bCs/>
          <w:szCs w:val="21"/>
        </w:rPr>
      </w:pPr>
      <w:bookmarkStart w:id="153" w:name="_Toc989180"/>
      <w:r>
        <w:rPr>
          <w:rFonts w:ascii="宋体" w:eastAsia="宋体" w:hAnsi="宋体" w:cs="宋体"/>
          <w:b/>
          <w:bCs/>
          <w:szCs w:val="21"/>
        </w:rPr>
        <w:t>（1） 无形资产情况</w:t>
      </w:r>
      <w:bookmarkEnd w:id="15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74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943"/>
        <w:gridCol w:w="1701"/>
        <w:gridCol w:w="1701"/>
        <w:gridCol w:w="1701"/>
        <w:gridCol w:w="1701"/>
      </w:tblGrid>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jc w:val="center"/>
              <w:rPr>
                <w:rFonts w:ascii="宋体" w:eastAsia="宋体" w:hAnsi="宋体" w:cs="宋体"/>
                <w:sz w:val="18"/>
                <w:szCs w:val="18"/>
              </w:rPr>
            </w:pPr>
            <w:r>
              <w:rPr>
                <w:rFonts w:ascii="宋体" w:eastAsia="宋体" w:hAnsi="宋体" w:cs="宋体"/>
                <w:sz w:val="18"/>
                <w:szCs w:val="18"/>
              </w:rPr>
              <w:t>土地使用权</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jc w:val="center"/>
              <w:rPr>
                <w:rFonts w:ascii="宋体" w:eastAsia="宋体" w:hAnsi="宋体" w:cs="宋体"/>
                <w:sz w:val="18"/>
                <w:szCs w:val="18"/>
              </w:rPr>
            </w:pPr>
            <w:r>
              <w:rPr>
                <w:rFonts w:ascii="宋体" w:eastAsia="宋体" w:hAnsi="宋体" w:cs="宋体"/>
                <w:sz w:val="18"/>
                <w:szCs w:val="18"/>
              </w:rPr>
              <w:t>专利权</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jc w:val="center"/>
              <w:rPr>
                <w:rFonts w:ascii="宋体" w:eastAsia="宋体" w:hAnsi="宋体" w:cs="宋体"/>
                <w:sz w:val="18"/>
                <w:szCs w:val="18"/>
              </w:rPr>
            </w:pPr>
            <w:r>
              <w:rPr>
                <w:rFonts w:ascii="宋体" w:eastAsia="宋体" w:hAnsi="宋体" w:cs="宋体"/>
                <w:sz w:val="18"/>
                <w:szCs w:val="18"/>
              </w:rPr>
              <w:t>非专利技术</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1,032,894,933.14</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30,443,903.20</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9,065,464.49</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1,072,404,300.83</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20,170,667.87</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458,432.10</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42,943.16</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20,672,043.13</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（1）购置</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23,644,282.00</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458,432.10</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42,943.16</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24,145,657.26</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（2）内部研发</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（3）企业合并增加</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line="240" w:lineRule="exact"/>
              <w:ind w:firstLineChars="200" w:firstLine="360"/>
              <w:rPr>
                <w:rFonts w:ascii="宋体" w:eastAsia="宋体" w:hAnsi="宋体" w:cs="宋体"/>
                <w:sz w:val="18"/>
                <w:szCs w:val="18"/>
              </w:rPr>
            </w:pPr>
            <w:r>
              <w:rPr>
                <w:rFonts w:ascii="宋体" w:eastAsia="宋体" w:hAnsi="宋体" w:cs="宋体"/>
                <w:sz w:val="18"/>
                <w:szCs w:val="18"/>
              </w:rPr>
              <w:t>（4）外币报表折算差异</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-3,473,614.13</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-3,473,614.13</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26,180,330.95</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86,707.27</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1,346,976.32</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27,614,014.54</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（1）处置</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26,180,330.95</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86,707.27</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1,346,976.32</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27,614,014.54</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1,026,885,270.06</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30,815,628.03</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7,761,431.33</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1,065,462,329.42</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rPr>
                <w:rFonts w:ascii="宋体" w:eastAsia="宋体" w:hAnsi="宋体" w:cs="宋体"/>
                <w:sz w:val="18"/>
                <w:szCs w:val="18"/>
              </w:rPr>
            </w:pPr>
            <w:r>
              <w:rPr>
                <w:rFonts w:ascii="宋体" w:eastAsia="宋体" w:hAnsi="宋体" w:cs="宋体"/>
                <w:sz w:val="18"/>
                <w:szCs w:val="18"/>
              </w:rPr>
              <w:t>二、累计摊销</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192,710,749.02</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24,141,287.22</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6,900,731.46</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223,752,767.70</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9,756,070.26</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801,202.14</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761,750.74</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11,319,023.14</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9,734,489.64</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801,202.14</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748,629.28</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11,284,321.06</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line="240" w:lineRule="exact"/>
              <w:rPr>
                <w:rFonts w:ascii="宋体" w:eastAsia="宋体" w:hAnsi="宋体" w:cs="宋体"/>
                <w:sz w:val="18"/>
                <w:szCs w:val="18"/>
              </w:rPr>
            </w:pPr>
            <w:r>
              <w:rPr>
                <w:rFonts w:ascii="宋体" w:eastAsia="宋体" w:hAnsi="宋体" w:cs="宋体"/>
                <w:sz w:val="18"/>
                <w:szCs w:val="18"/>
              </w:rPr>
              <w:t>（4）外币报表折算差异</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21,580.62</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13,121.46</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34,702.08</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lastRenderedPageBreak/>
              <w:t>3.本期减少金额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2,555,171.01</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86,707.27</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1,314,768.90</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3,956,647.18</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（1）处置</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2,555,171.01</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86,707.27</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1,314,768.90</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3,956,647.18</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199,911,648.27</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24,855,782.09</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6,347,713.30</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231,115,143.66</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（1）计提</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（1）处置</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826,973,621.79</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5,959,845.94</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1,413,718.03</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834,347,185.76</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840,184,184.12</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6,302,615.98</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2,164,733.03</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848,651,533.13</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本期末通过公司内部研发形成的无形资产占无形资产余额的比例0.00%</w:t>
      </w:r>
    </w:p>
    <w:p w:rsidR="00037019" w:rsidRDefault="00BE788E">
      <w:pPr>
        <w:keepNext/>
        <w:keepLines/>
        <w:spacing w:before="300" w:after="300" w:line="280" w:lineRule="exact"/>
        <w:outlineLvl w:val="3"/>
        <w:rPr>
          <w:rFonts w:ascii="宋体" w:eastAsia="宋体" w:hAnsi="宋体" w:cs="宋体"/>
          <w:b/>
          <w:bCs/>
          <w:szCs w:val="21"/>
        </w:rPr>
      </w:pPr>
      <w:bookmarkStart w:id="154" w:name="_Toc989181"/>
      <w:r>
        <w:rPr>
          <w:rFonts w:ascii="宋体" w:eastAsia="宋体" w:hAnsi="宋体" w:cs="宋体"/>
          <w:b/>
          <w:bCs/>
          <w:szCs w:val="21"/>
        </w:rPr>
        <w:t>（2） 确认为无形资产的数据资源</w:t>
      </w:r>
      <w:bookmarkEnd w:id="154"/>
    </w:p>
    <w:p w:rsidR="00BE788E" w:rsidRDefault="00BE788E">
      <w:pPr>
        <w:pStyle w:val="a3"/>
        <w:divId w:val="1411581143"/>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155" w:name="_Toc989182"/>
      <w:r>
        <w:rPr>
          <w:rFonts w:ascii="宋体" w:eastAsia="宋体" w:hAnsi="宋体" w:cs="宋体"/>
          <w:b/>
          <w:bCs/>
          <w:szCs w:val="21"/>
        </w:rPr>
        <w:t>（3） 未办妥产权证书的土地使用权情况</w:t>
      </w:r>
      <w:bookmarkEnd w:id="15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未办妥产权证书的原因</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土地使用权</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19,867,768.56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rsidP="00AF3B62">
            <w:pPr>
              <w:spacing w:line="240" w:lineRule="exact"/>
              <w:jc w:val="right"/>
              <w:rPr>
                <w:rFonts w:ascii="宋体" w:eastAsia="宋体" w:hAnsi="宋体" w:cs="宋体"/>
                <w:sz w:val="18"/>
                <w:szCs w:val="18"/>
              </w:rPr>
            </w:pPr>
            <w:r>
              <w:rPr>
                <w:rFonts w:ascii="宋体" w:eastAsia="宋体" w:hAnsi="宋体" w:cs="宋体"/>
                <w:sz w:val="18"/>
                <w:szCs w:val="18"/>
              </w:rPr>
              <w:t xml:space="preserve"> 尚在办理中</w:t>
            </w:r>
          </w:p>
        </w:tc>
      </w:tr>
    </w:tbl>
    <w:p w:rsidR="00037019" w:rsidRDefault="00BE788E">
      <w:pPr>
        <w:keepNext/>
        <w:keepLines/>
        <w:spacing w:before="300" w:after="300" w:line="280" w:lineRule="exact"/>
        <w:outlineLvl w:val="3"/>
        <w:rPr>
          <w:rFonts w:ascii="宋体" w:eastAsia="宋体" w:hAnsi="宋体" w:cs="宋体"/>
          <w:b/>
          <w:bCs/>
          <w:szCs w:val="21"/>
        </w:rPr>
      </w:pPr>
      <w:bookmarkStart w:id="156" w:name="_Toc989183"/>
      <w:r>
        <w:rPr>
          <w:rFonts w:ascii="宋体" w:eastAsia="宋体" w:hAnsi="宋体" w:cs="宋体"/>
          <w:b/>
          <w:bCs/>
          <w:szCs w:val="21"/>
        </w:rPr>
        <w:t>（4） 无形资产的减值测试情况</w:t>
      </w:r>
      <w:bookmarkEnd w:id="156"/>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157" w:name="_Toc989184"/>
      <w:r>
        <w:rPr>
          <w:rFonts w:ascii="宋体" w:hAnsi="宋体" w:cs="宋体"/>
          <w:b/>
          <w:bCs/>
        </w:rPr>
        <w:t>27、商誉</w:t>
      </w:r>
      <w:bookmarkEnd w:id="157"/>
    </w:p>
    <w:p w:rsidR="00037019" w:rsidRDefault="00BE788E">
      <w:pPr>
        <w:keepNext/>
        <w:keepLines/>
        <w:spacing w:before="300" w:after="300" w:line="280" w:lineRule="exact"/>
        <w:outlineLvl w:val="3"/>
        <w:rPr>
          <w:rFonts w:ascii="宋体" w:eastAsia="宋体" w:hAnsi="宋体" w:cs="宋体"/>
          <w:b/>
          <w:bCs/>
          <w:szCs w:val="21"/>
        </w:rPr>
      </w:pPr>
      <w:bookmarkStart w:id="158" w:name="_Toc989185"/>
      <w:r>
        <w:rPr>
          <w:rFonts w:ascii="宋体" w:eastAsia="宋体" w:hAnsi="宋体" w:cs="宋体"/>
          <w:b/>
          <w:bCs/>
          <w:szCs w:val="21"/>
        </w:rPr>
        <w:t>（1） 商誉账面原值</w:t>
      </w:r>
      <w:bookmarkEnd w:id="15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943"/>
        <w:gridCol w:w="1674"/>
        <w:gridCol w:w="1674"/>
        <w:gridCol w:w="1674"/>
        <w:gridCol w:w="1674"/>
      </w:tblGrid>
      <w:tr w:rsidR="00037019" w:rsidTr="00AF3B62">
        <w:trPr>
          <w:trHeight w:val="240"/>
        </w:trPr>
        <w:tc>
          <w:tcPr>
            <w:tcW w:w="294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被投资单位名称或形成商誉的事项</w:t>
            </w:r>
          </w:p>
        </w:tc>
        <w:tc>
          <w:tcPr>
            <w:tcW w:w="167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67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67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67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F3B62" w:rsidTr="00AF3B62">
        <w:trPr>
          <w:trHeight w:val="240"/>
        </w:trPr>
        <w:tc>
          <w:tcPr>
            <w:tcW w:w="294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tc>
        <w:tc>
          <w:tcPr>
            <w:tcW w:w="167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tc>
        <w:tc>
          <w:tcPr>
            <w:tcW w:w="1674"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line="240" w:lineRule="exact"/>
              <w:jc w:val="center"/>
              <w:rPr>
                <w:rFonts w:ascii="宋体" w:eastAsia="宋体" w:hAnsi="宋体" w:cs="宋体"/>
                <w:sz w:val="18"/>
                <w:szCs w:val="18"/>
              </w:rPr>
            </w:pPr>
            <w:r>
              <w:rPr>
                <w:rFonts w:ascii="宋体" w:eastAsia="宋体" w:hAnsi="宋体" w:cs="宋体"/>
                <w:sz w:val="18"/>
                <w:szCs w:val="18"/>
              </w:rPr>
              <w:t>企业合并形成的</w:t>
            </w:r>
          </w:p>
        </w:tc>
        <w:tc>
          <w:tcPr>
            <w:tcW w:w="1674"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line="240" w:lineRule="exact"/>
              <w:jc w:val="center"/>
              <w:rPr>
                <w:rFonts w:ascii="宋体" w:eastAsia="宋体" w:hAnsi="宋体" w:cs="宋体"/>
                <w:sz w:val="18"/>
                <w:szCs w:val="18"/>
              </w:rPr>
            </w:pPr>
            <w:r>
              <w:rPr>
                <w:rFonts w:ascii="宋体" w:eastAsia="宋体" w:hAnsi="宋体" w:cs="宋体"/>
                <w:sz w:val="18"/>
                <w:szCs w:val="18"/>
              </w:rPr>
              <w:t>处置</w:t>
            </w:r>
          </w:p>
        </w:tc>
        <w:tc>
          <w:tcPr>
            <w:tcW w:w="167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3,861,366.21</w:t>
            </w: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3,861,366.21</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line="240" w:lineRule="exact"/>
              <w:rPr>
                <w:rFonts w:ascii="宋体" w:eastAsia="宋体" w:hAnsi="宋体" w:cs="宋体"/>
                <w:sz w:val="18"/>
                <w:szCs w:val="18"/>
              </w:rPr>
            </w:pPr>
            <w:r>
              <w:rPr>
                <w:rFonts w:ascii="宋体" w:eastAsia="宋体" w:hAnsi="宋体" w:cs="宋体"/>
                <w:sz w:val="18"/>
                <w:szCs w:val="18"/>
              </w:rPr>
              <w:t>浙江阿大互联科技有限公司</w:t>
            </w: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147,900,475.26</w:t>
            </w: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147,900,475.26</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151,761,841.47</w:t>
            </w: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151,761,841.47</w:t>
            </w:r>
          </w:p>
        </w:tc>
      </w:tr>
    </w:tbl>
    <w:p w:rsidR="00037019" w:rsidRDefault="00BE788E">
      <w:pPr>
        <w:keepNext/>
        <w:keepLines/>
        <w:spacing w:before="300" w:after="300" w:line="280" w:lineRule="exact"/>
        <w:outlineLvl w:val="3"/>
        <w:rPr>
          <w:rFonts w:ascii="宋体" w:eastAsia="宋体" w:hAnsi="宋体" w:cs="宋体"/>
          <w:b/>
          <w:bCs/>
          <w:szCs w:val="21"/>
        </w:rPr>
      </w:pPr>
      <w:bookmarkStart w:id="159" w:name="_Toc989186"/>
      <w:r>
        <w:rPr>
          <w:rFonts w:ascii="宋体" w:eastAsia="宋体" w:hAnsi="宋体" w:cs="宋体"/>
          <w:b/>
          <w:bCs/>
          <w:szCs w:val="21"/>
        </w:rPr>
        <w:lastRenderedPageBreak/>
        <w:t>（2） 商誉减值准备</w:t>
      </w:r>
      <w:bookmarkEnd w:id="159"/>
    </w:p>
    <w:p w:rsidR="00AF3B62" w:rsidRDefault="00BE788E" w:rsidP="00AF3B62">
      <w:pPr>
        <w:keepNext/>
        <w:keepLines/>
        <w:spacing w:before="300" w:after="300" w:line="280" w:lineRule="exact"/>
        <w:outlineLvl w:val="3"/>
        <w:rPr>
          <w:rFonts w:ascii="宋体" w:eastAsia="宋体" w:hAnsi="宋体" w:cs="宋体"/>
          <w:b/>
          <w:bCs/>
          <w:szCs w:val="21"/>
        </w:rPr>
      </w:pPr>
      <w:bookmarkStart w:id="160" w:name="_Toc989187"/>
      <w:r>
        <w:rPr>
          <w:rFonts w:ascii="宋体" w:eastAsia="宋体" w:hAnsi="宋体" w:cs="宋体"/>
          <w:b/>
          <w:bCs/>
          <w:szCs w:val="21"/>
        </w:rPr>
        <w:t>（3） 商誉所在资产组或资产组组合的相关信息</w:t>
      </w:r>
      <w:bookmarkEnd w:id="160"/>
    </w:p>
    <w:p w:rsidR="00037019" w:rsidRDefault="00BE788E" w:rsidP="00AF3B62">
      <w:pPr>
        <w:keepNext/>
        <w:keepLines/>
        <w:spacing w:before="300" w:after="300" w:line="280" w:lineRule="exact"/>
        <w:outlineLvl w:val="3"/>
        <w:rPr>
          <w:rFonts w:ascii="宋体" w:eastAsia="宋体" w:hAnsi="宋体" w:cs="宋体"/>
          <w:sz w:val="18"/>
          <w:szCs w:val="18"/>
        </w:rPr>
      </w:pPr>
      <w:r>
        <w:rPr>
          <w:rFonts w:ascii="宋体" w:eastAsia="宋体" w:hAnsi="宋体" w:cs="宋体"/>
          <w:sz w:val="18"/>
          <w:szCs w:val="18"/>
        </w:rPr>
        <w:t>其他说明</w:t>
      </w:r>
    </w:p>
    <w:p w:rsidR="00BE788E" w:rsidRDefault="00BE788E" w:rsidP="00AF3B62">
      <w:pPr>
        <w:pStyle w:val="a3"/>
        <w:spacing w:before="0" w:beforeAutospacing="0" w:after="0" w:afterAutospacing="0"/>
        <w:divId w:val="1522280382"/>
        <w:rPr>
          <w:sz w:val="18"/>
          <w:szCs w:val="18"/>
        </w:rPr>
      </w:pPr>
      <w:r>
        <w:rPr>
          <w:rFonts w:hint="eastAsia"/>
          <w:sz w:val="18"/>
          <w:szCs w:val="18"/>
        </w:rPr>
        <w:t>本公司之子公司新疆华孚棉业于2018年1月对新疆棉花交易市场进行增资；注入增资款3,520.00万元，占总价款的100%；合并日，取得的被投资单位可辨认净资产公允价值份额为3233.86万元，从而形成商誉386.14万元；</w:t>
      </w:r>
    </w:p>
    <w:p w:rsidR="00BE788E" w:rsidRDefault="00BE788E" w:rsidP="00AF3B62">
      <w:pPr>
        <w:pStyle w:val="a3"/>
        <w:spacing w:before="0" w:beforeAutospacing="0" w:after="0" w:afterAutospacing="0"/>
        <w:divId w:val="1522280382"/>
        <w:rPr>
          <w:sz w:val="18"/>
          <w:szCs w:val="18"/>
        </w:rPr>
      </w:pPr>
      <w:r>
        <w:rPr>
          <w:rFonts w:hint="eastAsia"/>
          <w:sz w:val="18"/>
          <w:szCs w:val="18"/>
        </w:rPr>
        <w:t>本公司子公司深圳</w:t>
      </w:r>
      <w:proofErr w:type="gramStart"/>
      <w:r>
        <w:rPr>
          <w:rFonts w:hint="eastAsia"/>
          <w:sz w:val="18"/>
          <w:szCs w:val="18"/>
        </w:rPr>
        <w:t>网链于</w:t>
      </w:r>
      <w:proofErr w:type="gramEnd"/>
      <w:r>
        <w:rPr>
          <w:rFonts w:hint="eastAsia"/>
          <w:sz w:val="18"/>
          <w:szCs w:val="18"/>
        </w:rPr>
        <w:t>2021年8月以现金27,083.00万元和持有的新疆阿大数字科技产业园有限公司100%股权、浙江易孚贸易有限公司70%股权向目标公司浙江阿大互联科技有限公司进行增资，投资成本合计为39,161.60万元，取得的被投资单位可辨认净资产公允价值份额为24,371.55万元，从而形成商誉14,790.05万元。</w:t>
      </w:r>
    </w:p>
    <w:p w:rsidR="00BE788E" w:rsidRDefault="00BE788E" w:rsidP="00AF3B62">
      <w:pPr>
        <w:pStyle w:val="a3"/>
        <w:spacing w:before="0" w:beforeAutospacing="0" w:after="0" w:afterAutospacing="0"/>
        <w:divId w:val="1522280382"/>
        <w:rPr>
          <w:sz w:val="18"/>
          <w:szCs w:val="18"/>
        </w:rPr>
      </w:pPr>
      <w:r>
        <w:rPr>
          <w:rFonts w:hint="eastAsia"/>
          <w:sz w:val="18"/>
          <w:szCs w:val="18"/>
        </w:rPr>
        <w:t>上述资产组与购买日所确认的资产组一致。</w:t>
      </w:r>
    </w:p>
    <w:p w:rsidR="00037019" w:rsidRDefault="00BE788E">
      <w:pPr>
        <w:keepNext/>
        <w:keepLines/>
        <w:spacing w:before="300" w:after="300" w:line="280" w:lineRule="exact"/>
        <w:outlineLvl w:val="3"/>
        <w:rPr>
          <w:rFonts w:ascii="宋体" w:eastAsia="宋体" w:hAnsi="宋体" w:cs="宋体"/>
          <w:b/>
          <w:bCs/>
          <w:szCs w:val="21"/>
        </w:rPr>
      </w:pPr>
      <w:bookmarkStart w:id="161" w:name="_Toc989188"/>
      <w:r>
        <w:rPr>
          <w:rFonts w:ascii="宋体" w:eastAsia="宋体" w:hAnsi="宋体" w:cs="宋体"/>
          <w:b/>
          <w:bCs/>
          <w:szCs w:val="21"/>
        </w:rPr>
        <w:t>（4） 可收回金额的具体确定方法</w:t>
      </w:r>
      <w:bookmarkEnd w:id="16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可收回金额按公允价值减去处置费用后的净额确定</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AF3B62" w:rsidRDefault="00BE788E" w:rsidP="00AF3B62">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r w:rsidR="00AF3B62">
        <w:rPr>
          <w:rFonts w:ascii="宋体" w:eastAsia="宋体" w:hAnsi="宋体" w:cs="宋体" w:hint="eastAsia"/>
          <w:sz w:val="18"/>
          <w:szCs w:val="18"/>
        </w:rPr>
        <w:t>：</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162" w:name="_Toc989189"/>
      <w:r>
        <w:rPr>
          <w:rFonts w:ascii="宋体" w:eastAsia="宋体" w:hAnsi="宋体" w:cs="宋体"/>
          <w:b/>
          <w:bCs/>
          <w:szCs w:val="21"/>
        </w:rPr>
        <w:t>（5） 业绩承诺完成及对应商誉减值情况</w:t>
      </w:r>
      <w:bookmarkEnd w:id="16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形成商誉时存在业绩承诺</w:t>
      </w:r>
      <w:proofErr w:type="gramStart"/>
      <w:r>
        <w:rPr>
          <w:rFonts w:ascii="宋体" w:eastAsia="宋体" w:hAnsi="宋体" w:cs="宋体"/>
          <w:sz w:val="18"/>
          <w:szCs w:val="18"/>
        </w:rPr>
        <w:t>且报告</w:t>
      </w:r>
      <w:proofErr w:type="gramEnd"/>
      <w:r>
        <w:rPr>
          <w:rFonts w:ascii="宋体" w:eastAsia="宋体" w:hAnsi="宋体" w:cs="宋体"/>
          <w:sz w:val="18"/>
          <w:szCs w:val="18"/>
        </w:rPr>
        <w:t>期或报告期上一期间处于业绩承诺期内</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AF3B62" w:rsidRDefault="00BE788E" w:rsidP="00AF3B62">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F3B62">
        <w:rPr>
          <w:rFonts w:ascii="宋体" w:eastAsia="宋体" w:hAnsi="宋体" w:cs="宋体" w:hint="eastAsia"/>
          <w:sz w:val="18"/>
          <w:szCs w:val="18"/>
        </w:rPr>
        <w:t>：</w:t>
      </w:r>
      <w:r>
        <w:rPr>
          <w:rFonts w:hint="eastAsia"/>
          <w:sz w:val="18"/>
          <w:szCs w:val="18"/>
        </w:rPr>
        <w:t>无。</w:t>
      </w:r>
    </w:p>
    <w:p w:rsidR="00037019" w:rsidRDefault="00BE788E">
      <w:pPr>
        <w:pStyle w:val="3"/>
        <w:spacing w:line="280" w:lineRule="exact"/>
        <w:jc w:val="left"/>
        <w:rPr>
          <w:rFonts w:ascii="宋体" w:hAnsi="宋体" w:cs="宋体"/>
          <w:b/>
          <w:bCs/>
        </w:rPr>
      </w:pPr>
      <w:bookmarkStart w:id="163" w:name="_Toc989190"/>
      <w:r>
        <w:rPr>
          <w:rFonts w:ascii="宋体" w:hAnsi="宋体" w:cs="宋体"/>
          <w:b/>
          <w:bCs/>
        </w:rPr>
        <w:t>28、长期待摊费用</w:t>
      </w:r>
      <w:bookmarkEnd w:id="16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rsidTr="00AF3B62">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本期摊销金额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其他减少金额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AF3B62">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装修费</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5,778,613.87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1,488,865.65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1,390,432.50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5,877,047.02</w:t>
            </w:r>
          </w:p>
        </w:tc>
      </w:tr>
      <w:tr w:rsidR="00037019" w:rsidTr="00AF3B62">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机物料</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3,481,678.08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1,977,196.55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2,918,072.36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114,229.42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2,426,572.85</w:t>
            </w:r>
          </w:p>
        </w:tc>
      </w:tr>
      <w:tr w:rsidR="00037019" w:rsidTr="00AF3B62">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8,948,799.36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921,358.24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4,158,615.34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5,711,542.26</w:t>
            </w:r>
          </w:p>
        </w:tc>
      </w:tr>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18,209,091.31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4,387,420.44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8,467,120.20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114,229.42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14,015,162.13</w:t>
            </w:r>
          </w:p>
        </w:tc>
      </w:tr>
    </w:tbl>
    <w:p w:rsidR="00BE788E" w:rsidRPr="00AF3B62" w:rsidRDefault="00BE788E" w:rsidP="00AF3B62">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F3B62">
        <w:rPr>
          <w:rFonts w:ascii="宋体" w:eastAsia="宋体" w:hAnsi="宋体" w:cs="宋体" w:hint="eastAsia"/>
          <w:sz w:val="18"/>
          <w:szCs w:val="18"/>
        </w:rPr>
        <w:t>：</w:t>
      </w:r>
      <w:r>
        <w:rPr>
          <w:rFonts w:hint="eastAsia"/>
          <w:sz w:val="18"/>
          <w:szCs w:val="18"/>
        </w:rPr>
        <w:t>无。</w:t>
      </w:r>
    </w:p>
    <w:p w:rsidR="00037019" w:rsidRDefault="00BE788E">
      <w:pPr>
        <w:pStyle w:val="3"/>
        <w:spacing w:line="280" w:lineRule="exact"/>
        <w:jc w:val="left"/>
        <w:rPr>
          <w:rFonts w:ascii="宋体" w:hAnsi="宋体" w:cs="宋体"/>
          <w:b/>
          <w:bCs/>
        </w:rPr>
      </w:pPr>
      <w:bookmarkStart w:id="164" w:name="_Toc989191"/>
      <w:r>
        <w:rPr>
          <w:rFonts w:ascii="宋体" w:hAnsi="宋体" w:cs="宋体"/>
          <w:b/>
          <w:bCs/>
        </w:rPr>
        <w:t>29、递延所得税资产/递延所得税负债</w:t>
      </w:r>
      <w:bookmarkEnd w:id="164"/>
    </w:p>
    <w:p w:rsidR="00037019" w:rsidRDefault="00BE788E">
      <w:pPr>
        <w:keepNext/>
        <w:keepLines/>
        <w:spacing w:before="300" w:after="300" w:line="280" w:lineRule="exact"/>
        <w:outlineLvl w:val="3"/>
        <w:rPr>
          <w:rFonts w:ascii="宋体" w:eastAsia="宋体" w:hAnsi="宋体" w:cs="宋体"/>
          <w:b/>
          <w:bCs/>
          <w:szCs w:val="21"/>
        </w:rPr>
      </w:pPr>
      <w:bookmarkStart w:id="165" w:name="_Toc989192"/>
      <w:r>
        <w:rPr>
          <w:rFonts w:ascii="宋体" w:eastAsia="宋体" w:hAnsi="宋体" w:cs="宋体"/>
          <w:b/>
          <w:bCs/>
          <w:szCs w:val="21"/>
        </w:rPr>
        <w:t>（1） 未经</w:t>
      </w:r>
      <w:proofErr w:type="gramStart"/>
      <w:r>
        <w:rPr>
          <w:rFonts w:ascii="宋体" w:eastAsia="宋体" w:hAnsi="宋体" w:cs="宋体"/>
          <w:b/>
          <w:bCs/>
          <w:szCs w:val="21"/>
        </w:rPr>
        <w:t>抵销</w:t>
      </w:r>
      <w:proofErr w:type="gramEnd"/>
      <w:r>
        <w:rPr>
          <w:rFonts w:ascii="宋体" w:eastAsia="宋体" w:hAnsi="宋体" w:cs="宋体"/>
          <w:b/>
          <w:bCs/>
          <w:szCs w:val="21"/>
        </w:rPr>
        <w:t>的递延所得税资产</w:t>
      </w:r>
      <w:bookmarkEnd w:id="16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资产减值准备</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199,564,816.89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32,743,567.96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196,547,126.87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29,719,512.14</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内部交易未实现利润</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6,165,809.60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1,541,452.40</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可抵扣亏损</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458,291,724.94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145,437,394.45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459,378,160.93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145,464,764.91</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递延收益</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30,019,761.35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3,044,420.83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28,805,219.87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2,826,571.99</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预计负债</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1,522.12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1,522.12</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交易性金融资产公允价值变动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20,257,803.24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4,031,150.54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20,257,803.24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4,031,150.54</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租赁负债</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5,506,851.57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1,225,493.07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2,716,019.79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529,333.66</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713,648,568.60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186,483,548.97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713,877,750.91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184,114,307.76</w:t>
            </w:r>
          </w:p>
        </w:tc>
      </w:tr>
    </w:tbl>
    <w:p w:rsidR="00037019" w:rsidRDefault="00BE788E">
      <w:pPr>
        <w:keepNext/>
        <w:keepLines/>
        <w:spacing w:before="300" w:after="300" w:line="280" w:lineRule="exact"/>
        <w:outlineLvl w:val="3"/>
        <w:rPr>
          <w:rFonts w:ascii="宋体" w:eastAsia="宋体" w:hAnsi="宋体" w:cs="宋体"/>
          <w:b/>
          <w:bCs/>
          <w:szCs w:val="21"/>
        </w:rPr>
      </w:pPr>
      <w:bookmarkStart w:id="166" w:name="_Toc989193"/>
      <w:r>
        <w:rPr>
          <w:rFonts w:ascii="宋体" w:eastAsia="宋体" w:hAnsi="宋体" w:cs="宋体"/>
          <w:b/>
          <w:bCs/>
          <w:szCs w:val="21"/>
        </w:rPr>
        <w:t>（2） 未经</w:t>
      </w:r>
      <w:proofErr w:type="gramStart"/>
      <w:r>
        <w:rPr>
          <w:rFonts w:ascii="宋体" w:eastAsia="宋体" w:hAnsi="宋体" w:cs="宋体"/>
          <w:b/>
          <w:bCs/>
          <w:szCs w:val="21"/>
        </w:rPr>
        <w:t>抵销</w:t>
      </w:r>
      <w:proofErr w:type="gramEnd"/>
      <w:r>
        <w:rPr>
          <w:rFonts w:ascii="宋体" w:eastAsia="宋体" w:hAnsi="宋体" w:cs="宋体"/>
          <w:b/>
          <w:bCs/>
          <w:szCs w:val="21"/>
        </w:rPr>
        <w:t>的递延所得税负债</w:t>
      </w:r>
      <w:bookmarkEnd w:id="16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递延所得税负债</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17,562,975.60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2,634,446.34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16,474,616.91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2,471,192.54</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交易性金融资产公允价值变动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7,266,776.40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1,816,694.10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281,649.36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70,412.34</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已计提尚未收到的政府补助</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94,218,703.54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14,132,805.53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73,326,774.87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10,999,016.23</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未实现内部交易损失</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141,222.04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35,305.51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租赁负债</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15,485.40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2,322.81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25,808.97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3,871.35</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119,205,162.98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18,621,574.29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90,108,850.11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13,544,492.46</w:t>
            </w:r>
          </w:p>
        </w:tc>
      </w:tr>
    </w:tbl>
    <w:p w:rsidR="00037019" w:rsidRDefault="00BE788E">
      <w:pPr>
        <w:keepNext/>
        <w:keepLines/>
        <w:spacing w:before="300" w:after="300" w:line="280" w:lineRule="exact"/>
        <w:outlineLvl w:val="3"/>
        <w:rPr>
          <w:rFonts w:ascii="宋体" w:eastAsia="宋体" w:hAnsi="宋体" w:cs="宋体"/>
          <w:b/>
          <w:bCs/>
          <w:szCs w:val="21"/>
        </w:rPr>
      </w:pPr>
      <w:bookmarkStart w:id="167" w:name="_Toc989194"/>
      <w:r>
        <w:rPr>
          <w:rFonts w:ascii="宋体" w:eastAsia="宋体" w:hAnsi="宋体" w:cs="宋体"/>
          <w:b/>
          <w:bCs/>
          <w:szCs w:val="21"/>
        </w:rPr>
        <w:t>（3） 以</w:t>
      </w:r>
      <w:proofErr w:type="gramStart"/>
      <w:r>
        <w:rPr>
          <w:rFonts w:ascii="宋体" w:eastAsia="宋体" w:hAnsi="宋体" w:cs="宋体"/>
          <w:b/>
          <w:bCs/>
          <w:szCs w:val="21"/>
        </w:rPr>
        <w:t>抵销</w:t>
      </w:r>
      <w:proofErr w:type="gramEnd"/>
      <w:r>
        <w:rPr>
          <w:rFonts w:ascii="宋体" w:eastAsia="宋体" w:hAnsi="宋体" w:cs="宋体"/>
          <w:b/>
          <w:bCs/>
          <w:szCs w:val="21"/>
        </w:rPr>
        <w:t>后净额列示的递延所得税资产或负债</w:t>
      </w:r>
      <w:bookmarkEnd w:id="16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递延所得税资产和负债期末互</w:t>
            </w:r>
            <w:proofErr w:type="gramStart"/>
            <w:r>
              <w:rPr>
                <w:rFonts w:ascii="宋体" w:eastAsia="宋体" w:hAnsi="宋体" w:cs="宋体"/>
                <w:sz w:val="18"/>
                <w:szCs w:val="18"/>
              </w:rPr>
              <w:t>抵金额</w:t>
            </w:r>
            <w:proofErr w:type="gramEnd"/>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抵销后递延</w:t>
            </w:r>
            <w:proofErr w:type="gramEnd"/>
            <w:r>
              <w:rPr>
                <w:rFonts w:ascii="宋体" w:eastAsia="宋体" w:hAnsi="宋体" w:cs="宋体"/>
                <w:sz w:val="18"/>
                <w:szCs w:val="18"/>
              </w:rPr>
              <w:t>所得税资产或负债期末余额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递延所得税资产和负债期</w:t>
            </w:r>
            <w:proofErr w:type="gramStart"/>
            <w:r>
              <w:rPr>
                <w:rFonts w:ascii="宋体" w:eastAsia="宋体" w:hAnsi="宋体" w:cs="宋体"/>
                <w:sz w:val="18"/>
                <w:szCs w:val="18"/>
              </w:rPr>
              <w:t>初互抵金额</w:t>
            </w:r>
            <w:proofErr w:type="gramEnd"/>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抵销后递延</w:t>
            </w:r>
            <w:proofErr w:type="gramEnd"/>
            <w:r>
              <w:rPr>
                <w:rFonts w:ascii="宋体" w:eastAsia="宋体" w:hAnsi="宋体" w:cs="宋体"/>
                <w:sz w:val="18"/>
                <w:szCs w:val="18"/>
              </w:rPr>
              <w:t>所得税资产或负债期初余额</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186,483,548.97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184,114,307.76</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18,621,574.29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13,544,492.46</w:t>
            </w:r>
          </w:p>
        </w:tc>
      </w:tr>
    </w:tbl>
    <w:p w:rsidR="00037019" w:rsidRDefault="00BE788E">
      <w:pPr>
        <w:keepNext/>
        <w:keepLines/>
        <w:spacing w:before="300" w:after="300" w:line="280" w:lineRule="exact"/>
        <w:outlineLvl w:val="3"/>
        <w:rPr>
          <w:rFonts w:ascii="宋体" w:eastAsia="宋体" w:hAnsi="宋体" w:cs="宋体"/>
          <w:b/>
          <w:bCs/>
          <w:szCs w:val="21"/>
        </w:rPr>
      </w:pPr>
      <w:bookmarkStart w:id="168" w:name="_Toc989195"/>
      <w:r>
        <w:rPr>
          <w:rFonts w:ascii="宋体" w:eastAsia="宋体" w:hAnsi="宋体" w:cs="宋体"/>
          <w:b/>
          <w:bCs/>
          <w:szCs w:val="21"/>
        </w:rPr>
        <w:t>（4） 未确认递延所得税资产明细</w:t>
      </w:r>
      <w:bookmarkEnd w:id="16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AF3B6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可抵扣亏损</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1,273,641,421.96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1,238,410,340.12</w:t>
            </w:r>
          </w:p>
        </w:tc>
      </w:tr>
      <w:tr w:rsidR="00037019" w:rsidTr="00AF3B6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604E99">
            <w:pPr>
              <w:spacing w:line="240" w:lineRule="exact"/>
              <w:jc w:val="right"/>
              <w:rPr>
                <w:rFonts w:ascii="宋体" w:eastAsia="宋体" w:hAnsi="宋体" w:cs="宋体"/>
                <w:sz w:val="18"/>
                <w:szCs w:val="18"/>
              </w:rPr>
            </w:pPr>
            <w:r w:rsidRPr="00604E99">
              <w:rPr>
                <w:rFonts w:ascii="宋体" w:eastAsia="宋体" w:hAnsi="宋体" w:cs="宋体"/>
                <w:sz w:val="18"/>
                <w:szCs w:val="18"/>
              </w:rPr>
              <w:t>99,224,408.32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138,453,487.06</w:t>
            </w:r>
          </w:p>
        </w:tc>
      </w:tr>
      <w:tr w:rsidR="00037019" w:rsidTr="00AF3B6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存货跌价准备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7,255,696.13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6,781,215.83</w:t>
            </w:r>
          </w:p>
        </w:tc>
      </w:tr>
      <w:tr w:rsidR="00037019" w:rsidTr="00AF3B6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4,392,013.63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6,821,096.59</w:t>
            </w:r>
          </w:p>
        </w:tc>
      </w:tr>
      <w:tr w:rsidR="00037019" w:rsidTr="00AF3B6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16,814,105.00</w:t>
            </w:r>
          </w:p>
        </w:tc>
      </w:tr>
      <w:tr w:rsidR="00037019" w:rsidTr="00AF3B6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固定资产减值准备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26,438,067.42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27,346,564.66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604E99">
            <w:pPr>
              <w:spacing w:line="240" w:lineRule="exact"/>
              <w:jc w:val="right"/>
              <w:rPr>
                <w:rFonts w:ascii="宋体" w:eastAsia="宋体" w:hAnsi="宋体" w:cs="宋体"/>
                <w:sz w:val="18"/>
                <w:szCs w:val="18"/>
              </w:rPr>
            </w:pPr>
            <w:r w:rsidRPr="00604E99">
              <w:rPr>
                <w:rFonts w:ascii="宋体" w:eastAsia="宋体" w:hAnsi="宋体" w:cs="宋体"/>
                <w:sz w:val="18"/>
                <w:szCs w:val="18"/>
              </w:rPr>
              <w:t>1,410,951,607.46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1,434,626,809.26</w:t>
            </w:r>
          </w:p>
        </w:tc>
      </w:tr>
    </w:tbl>
    <w:p w:rsidR="00AF3B62" w:rsidRDefault="00BE788E" w:rsidP="00AF3B62">
      <w:pPr>
        <w:keepNext/>
        <w:keepLines/>
        <w:spacing w:before="300" w:after="300" w:line="280" w:lineRule="exact"/>
        <w:outlineLvl w:val="3"/>
        <w:rPr>
          <w:rFonts w:ascii="宋体" w:eastAsia="宋体" w:hAnsi="宋体" w:cs="宋体"/>
          <w:b/>
          <w:bCs/>
          <w:szCs w:val="21"/>
        </w:rPr>
      </w:pPr>
      <w:bookmarkStart w:id="169" w:name="_Toc989196"/>
      <w:r>
        <w:rPr>
          <w:rFonts w:ascii="宋体" w:eastAsia="宋体" w:hAnsi="宋体" w:cs="宋体"/>
          <w:b/>
          <w:bCs/>
          <w:szCs w:val="21"/>
        </w:rPr>
        <w:t>（5） 未确认递延所得税资产的可抵扣亏损将于以下年度到期</w:t>
      </w:r>
      <w:bookmarkEnd w:id="169"/>
    </w:p>
    <w:p w:rsidR="00037019" w:rsidRDefault="00BE788E" w:rsidP="00AF3B62">
      <w:pPr>
        <w:keepNext/>
        <w:keepLines/>
        <w:spacing w:before="300" w:after="300" w:line="280" w:lineRule="exact"/>
        <w:outlineLvl w:val="3"/>
        <w:rPr>
          <w:rFonts w:ascii="宋体" w:eastAsia="宋体" w:hAnsi="宋体" w:cs="宋体"/>
          <w:sz w:val="18"/>
          <w:szCs w:val="18"/>
        </w:rPr>
      </w:pPr>
      <w:r>
        <w:rPr>
          <w:rFonts w:ascii="宋体" w:eastAsia="宋体" w:hAnsi="宋体" w:cs="宋体"/>
          <w:sz w:val="18"/>
          <w:szCs w:val="18"/>
        </w:rPr>
        <w:t>其他说明</w:t>
      </w:r>
    </w:p>
    <w:p w:rsidR="00BE788E" w:rsidRDefault="00BE788E">
      <w:pPr>
        <w:pStyle w:val="a3"/>
        <w:divId w:val="1254976784"/>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170" w:name="_Toc989197"/>
      <w:r>
        <w:rPr>
          <w:rFonts w:ascii="宋体" w:hAnsi="宋体" w:cs="宋体"/>
          <w:b/>
          <w:bCs/>
        </w:rPr>
        <w:lastRenderedPageBreak/>
        <w:t>30、其他非流动资产</w:t>
      </w:r>
      <w:bookmarkEnd w:id="17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566"/>
        <w:gridCol w:w="993"/>
        <w:gridCol w:w="1572"/>
        <w:gridCol w:w="1546"/>
        <w:gridCol w:w="992"/>
        <w:gridCol w:w="1593"/>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AF3B62">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56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9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57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54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5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rsidTr="00AF3B62">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预付工程及设备款等</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19,752,714.98</w:t>
            </w: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19,752,714.98</w:t>
            </w:r>
          </w:p>
        </w:tc>
        <w:tc>
          <w:tcPr>
            <w:tcW w:w="154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8,484,785.55</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8,484,785.55</w:t>
            </w:r>
          </w:p>
        </w:tc>
      </w:tr>
      <w:tr w:rsidR="00037019" w:rsidTr="00AF3B62">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土地预付款</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10,765,274.64</w:t>
            </w: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10,765,274.64</w:t>
            </w:r>
          </w:p>
        </w:tc>
        <w:tc>
          <w:tcPr>
            <w:tcW w:w="154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205,125,725.95</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205,125,725.95</w:t>
            </w:r>
          </w:p>
        </w:tc>
      </w:tr>
      <w:tr w:rsidR="00037019" w:rsidTr="00AF3B62">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30,517,989.62</w:t>
            </w: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30,517,989.62</w:t>
            </w:r>
          </w:p>
        </w:tc>
        <w:tc>
          <w:tcPr>
            <w:tcW w:w="154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213,610,511.50</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213,610,511.50</w:t>
            </w:r>
          </w:p>
        </w:tc>
      </w:tr>
    </w:tbl>
    <w:p w:rsidR="00BE788E" w:rsidRPr="00AF3B62" w:rsidRDefault="00BE788E" w:rsidP="00AF3B62">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71" w:name="_Toc989198"/>
      <w:r>
        <w:rPr>
          <w:rFonts w:ascii="宋体" w:hAnsi="宋体" w:cs="宋体"/>
          <w:b/>
          <w:bCs/>
        </w:rPr>
        <w:t>31、所有权或使用权受到限制的资产</w:t>
      </w:r>
      <w:bookmarkEnd w:id="17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37019">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w:t>
            </w:r>
          </w:p>
        </w:tc>
      </w:tr>
      <w:tr w:rsidR="00037019">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受限类型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受限情况</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受限类型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受限情况</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2,141,358,483.82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2,141,358,483.82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票据及借款等保证金</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451,800,076.10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451,800,076.10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票据及借款等保证金</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应收票据</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31,526,549.44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31,526,549.44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应收票据质押借款</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9,083,903.44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9,083,903.44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应收票据质押借款</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2,688,721,351.32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1,670,999,856.20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抵押贷款</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3,012,964,801.47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1,837,189,262.44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抵押贷款</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无形资产</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68,154,671.15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45,586,966.63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抵押贷款</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89,398,298.25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50,296,648.52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抵押贷款</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4,929,761,055.73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3,889,471,856.09</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3,563,247,079.26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2,348,369,890.50</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72" w:name="_Toc989199"/>
      <w:r>
        <w:rPr>
          <w:rFonts w:ascii="宋体" w:hAnsi="宋体" w:cs="宋体"/>
          <w:b/>
          <w:bCs/>
        </w:rPr>
        <w:t>32、短期借款</w:t>
      </w:r>
      <w:bookmarkEnd w:id="172"/>
    </w:p>
    <w:p w:rsidR="00037019" w:rsidRDefault="00BE788E">
      <w:pPr>
        <w:keepNext/>
        <w:keepLines/>
        <w:spacing w:before="300" w:after="300" w:line="280" w:lineRule="exact"/>
        <w:outlineLvl w:val="3"/>
        <w:rPr>
          <w:rFonts w:ascii="宋体" w:eastAsia="宋体" w:hAnsi="宋体" w:cs="宋体"/>
          <w:b/>
          <w:bCs/>
          <w:szCs w:val="21"/>
        </w:rPr>
      </w:pPr>
      <w:bookmarkStart w:id="173" w:name="_Toc989200"/>
      <w:r>
        <w:rPr>
          <w:rFonts w:ascii="宋体" w:eastAsia="宋体" w:hAnsi="宋体" w:cs="宋体"/>
          <w:b/>
          <w:bCs/>
          <w:szCs w:val="21"/>
        </w:rPr>
        <w:t>（1） 短期借款分类</w:t>
      </w:r>
      <w:bookmarkEnd w:id="17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2,061,131,690.56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454,200,000.00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1,764,760,457.68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3,169,230,000.00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2,310,000,000.00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信用借款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392,054,400.00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保证及抵押借款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1,102,798,565.28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743,000,000.00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保证及质押借款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1,456,460,000.00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保证、抵押及质押借款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911,400,000.00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5,269,005.00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信用、抵押及质押借款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801,290,000.00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短期借款利息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4,567,403.94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3,168,944.90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8,095,382,059.78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7,083,948,407.58</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短期借款分类的说明：</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174" w:name="_Toc989201"/>
      <w:r>
        <w:rPr>
          <w:rFonts w:ascii="宋体" w:eastAsia="宋体" w:hAnsi="宋体" w:cs="宋体"/>
          <w:b/>
          <w:bCs/>
          <w:szCs w:val="21"/>
        </w:rPr>
        <w:lastRenderedPageBreak/>
        <w:t>（2） 已逾期</w:t>
      </w:r>
      <w:proofErr w:type="gramStart"/>
      <w:r>
        <w:rPr>
          <w:rFonts w:ascii="宋体" w:eastAsia="宋体" w:hAnsi="宋体" w:cs="宋体"/>
          <w:b/>
          <w:bCs/>
          <w:szCs w:val="21"/>
        </w:rPr>
        <w:t>未偿</w:t>
      </w:r>
      <w:proofErr w:type="gramEnd"/>
      <w:r>
        <w:rPr>
          <w:rFonts w:ascii="宋体" w:eastAsia="宋体" w:hAnsi="宋体" w:cs="宋体"/>
          <w:b/>
          <w:bCs/>
          <w:szCs w:val="21"/>
        </w:rPr>
        <w:t>还的短期借款情况</w:t>
      </w:r>
      <w:bookmarkEnd w:id="174"/>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Pr>
          <w:rFonts w:hint="eastAsia"/>
          <w:sz w:val="18"/>
          <w:szCs w:val="18"/>
        </w:rPr>
        <w:t>无。</w:t>
      </w:r>
    </w:p>
    <w:p w:rsidR="00037019" w:rsidRDefault="00BE788E">
      <w:pPr>
        <w:pStyle w:val="3"/>
        <w:spacing w:line="280" w:lineRule="exact"/>
        <w:jc w:val="left"/>
        <w:rPr>
          <w:rFonts w:ascii="宋体" w:hAnsi="宋体" w:cs="宋体"/>
          <w:b/>
          <w:bCs/>
        </w:rPr>
      </w:pPr>
      <w:bookmarkStart w:id="175" w:name="_Toc989202"/>
      <w:r>
        <w:rPr>
          <w:rFonts w:ascii="宋体" w:hAnsi="宋体" w:cs="宋体"/>
          <w:b/>
          <w:bCs/>
        </w:rPr>
        <w:t>33、交易性金融负债</w:t>
      </w:r>
      <w:bookmarkEnd w:id="175"/>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76" w:name="_Toc989203"/>
      <w:r>
        <w:rPr>
          <w:rFonts w:ascii="宋体" w:hAnsi="宋体" w:cs="宋体"/>
          <w:b/>
          <w:bCs/>
        </w:rPr>
        <w:t>34、衍生金融负债</w:t>
      </w:r>
      <w:bookmarkEnd w:id="176"/>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77" w:name="_Toc989204"/>
      <w:r>
        <w:rPr>
          <w:rFonts w:ascii="宋体" w:hAnsi="宋体" w:cs="宋体"/>
          <w:b/>
          <w:bCs/>
        </w:rPr>
        <w:t>35、应付票据</w:t>
      </w:r>
      <w:bookmarkEnd w:id="17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种类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银行承兑汇票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127,598,025.01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32,923,985.70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127,598,025.01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32,923,985.70</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w:t>
      </w:r>
      <w:proofErr w:type="gramStart"/>
      <w:r>
        <w:rPr>
          <w:rFonts w:ascii="宋体" w:eastAsia="宋体" w:hAnsi="宋体" w:cs="宋体"/>
          <w:sz w:val="18"/>
          <w:szCs w:val="18"/>
        </w:rPr>
        <w:t>期末已</w:t>
      </w:r>
      <w:proofErr w:type="gramEnd"/>
      <w:r>
        <w:rPr>
          <w:rFonts w:ascii="宋体" w:eastAsia="宋体" w:hAnsi="宋体" w:cs="宋体"/>
          <w:sz w:val="18"/>
          <w:szCs w:val="18"/>
        </w:rPr>
        <w:t>到期未支付的应付票据总额为0.00元，到期未付的原因为无。</w:t>
      </w:r>
    </w:p>
    <w:p w:rsidR="00037019" w:rsidRDefault="00BE788E">
      <w:pPr>
        <w:pStyle w:val="3"/>
        <w:spacing w:line="280" w:lineRule="exact"/>
        <w:jc w:val="left"/>
        <w:rPr>
          <w:rFonts w:ascii="宋体" w:hAnsi="宋体" w:cs="宋体"/>
          <w:b/>
          <w:bCs/>
        </w:rPr>
      </w:pPr>
      <w:bookmarkStart w:id="178" w:name="_Toc989205"/>
      <w:r>
        <w:rPr>
          <w:rFonts w:ascii="宋体" w:hAnsi="宋体" w:cs="宋体"/>
          <w:b/>
          <w:bCs/>
        </w:rPr>
        <w:t>36、应付账款</w:t>
      </w:r>
      <w:bookmarkEnd w:id="178"/>
    </w:p>
    <w:p w:rsidR="00037019" w:rsidRDefault="00BE788E">
      <w:pPr>
        <w:keepNext/>
        <w:keepLines/>
        <w:spacing w:before="300" w:after="300" w:line="280" w:lineRule="exact"/>
        <w:outlineLvl w:val="3"/>
        <w:rPr>
          <w:rFonts w:ascii="宋体" w:eastAsia="宋体" w:hAnsi="宋体" w:cs="宋体"/>
          <w:b/>
          <w:bCs/>
          <w:sz w:val="18"/>
          <w:szCs w:val="18"/>
        </w:rPr>
      </w:pPr>
      <w:bookmarkStart w:id="179" w:name="_Toc989206"/>
      <w:r>
        <w:rPr>
          <w:rFonts w:ascii="宋体" w:eastAsia="宋体" w:hAnsi="宋体" w:cs="宋体"/>
          <w:b/>
          <w:bCs/>
          <w:sz w:val="18"/>
          <w:szCs w:val="18"/>
        </w:rPr>
        <w:t>（1） 应付账款列示</w:t>
      </w:r>
      <w:bookmarkEnd w:id="17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应付货款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426,280,979.96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632,218,517.88</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应付工程款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107,638,605.60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181,762,997.23</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应付设备款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121,636,725.51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86,114,311.48</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19,922,765.02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24,458,902.12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675,479,076.09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924,554,728.71</w:t>
            </w:r>
          </w:p>
        </w:tc>
      </w:tr>
    </w:tbl>
    <w:p w:rsidR="00037019" w:rsidRDefault="00BE788E">
      <w:pPr>
        <w:keepNext/>
        <w:keepLines/>
        <w:spacing w:before="300" w:after="300" w:line="280" w:lineRule="exact"/>
        <w:outlineLvl w:val="3"/>
        <w:rPr>
          <w:rFonts w:ascii="宋体" w:eastAsia="宋体" w:hAnsi="宋体" w:cs="宋体"/>
          <w:b/>
          <w:bCs/>
          <w:sz w:val="18"/>
          <w:szCs w:val="18"/>
        </w:rPr>
      </w:pPr>
      <w:bookmarkStart w:id="180" w:name="_Toc989207"/>
      <w:r>
        <w:rPr>
          <w:rFonts w:ascii="宋体" w:eastAsia="宋体" w:hAnsi="宋体" w:cs="宋体"/>
          <w:b/>
          <w:bCs/>
          <w:sz w:val="18"/>
          <w:szCs w:val="18"/>
        </w:rPr>
        <w:t>（2） 账龄超过1年或逾期的重要应付账款</w:t>
      </w:r>
      <w:bookmarkEnd w:id="18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shd w:val="clear" w:color="auto" w:fill="auto"/>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shd w:val="clear" w:color="auto" w:fill="auto"/>
            <w:vAlign w:val="center"/>
          </w:tcPr>
          <w:p w:rsidR="00037019" w:rsidRDefault="00BE788E">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未偿</w:t>
            </w:r>
            <w:proofErr w:type="gramEnd"/>
            <w:r>
              <w:rPr>
                <w:rFonts w:ascii="宋体" w:eastAsia="宋体" w:hAnsi="宋体" w:cs="宋体"/>
                <w:sz w:val="18"/>
                <w:szCs w:val="18"/>
              </w:rPr>
              <w:t>还或结转的原因</w:t>
            </w:r>
          </w:p>
        </w:tc>
      </w:tr>
      <w:tr w:rsidR="00037019" w:rsidTr="008561C1">
        <w:trPr>
          <w:trHeight w:val="240"/>
        </w:trPr>
        <w:tc>
          <w:tcPr>
            <w:tcW w:w="3213" w:type="dxa"/>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中煤第三建设（集团）有限责任公司</w:t>
            </w:r>
          </w:p>
        </w:tc>
        <w:tc>
          <w:tcPr>
            <w:tcW w:w="3213" w:type="dxa"/>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21,953,709.83</w:t>
            </w:r>
          </w:p>
        </w:tc>
        <w:tc>
          <w:tcPr>
            <w:tcW w:w="3213" w:type="dxa"/>
            <w:shd w:val="clear" w:color="auto" w:fill="auto"/>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未达到结算条件</w:t>
            </w:r>
          </w:p>
        </w:tc>
      </w:tr>
      <w:tr w:rsidR="00037019" w:rsidTr="008561C1">
        <w:trPr>
          <w:trHeight w:val="240"/>
        </w:trPr>
        <w:tc>
          <w:tcPr>
            <w:tcW w:w="3213" w:type="dxa"/>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21,953,709.83</w:t>
            </w:r>
          </w:p>
        </w:tc>
        <w:tc>
          <w:tcPr>
            <w:tcW w:w="3213" w:type="dxa"/>
            <w:shd w:val="clear" w:color="auto" w:fill="auto"/>
            <w:vAlign w:val="center"/>
          </w:tcPr>
          <w:p w:rsidR="00037019" w:rsidRDefault="00037019"/>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81" w:name="_Toc989208"/>
      <w:r>
        <w:rPr>
          <w:rFonts w:ascii="宋体" w:hAnsi="宋体" w:cs="宋体"/>
          <w:b/>
          <w:bCs/>
        </w:rPr>
        <w:t>37、其他应付款</w:t>
      </w:r>
      <w:bookmarkEnd w:id="18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166,027,239.55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158,535,963.00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166,027,239.55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158,535,963.00</w:t>
            </w:r>
          </w:p>
        </w:tc>
      </w:tr>
    </w:tbl>
    <w:p w:rsidR="00037019" w:rsidRDefault="00BE788E">
      <w:pPr>
        <w:keepNext/>
        <w:keepLines/>
        <w:spacing w:before="300" w:after="300" w:line="280" w:lineRule="exact"/>
        <w:outlineLvl w:val="3"/>
        <w:rPr>
          <w:rFonts w:ascii="宋体" w:eastAsia="宋体" w:hAnsi="宋体" w:cs="宋体"/>
          <w:b/>
          <w:bCs/>
          <w:szCs w:val="21"/>
        </w:rPr>
      </w:pPr>
      <w:bookmarkStart w:id="182" w:name="_Toc989209"/>
      <w:r>
        <w:rPr>
          <w:rFonts w:ascii="宋体" w:eastAsia="宋体" w:hAnsi="宋体" w:cs="宋体"/>
          <w:b/>
          <w:bCs/>
          <w:szCs w:val="21"/>
        </w:rPr>
        <w:lastRenderedPageBreak/>
        <w:t>（1） 应付利息</w:t>
      </w:r>
      <w:bookmarkEnd w:id="182"/>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183" w:name="_Toc989210"/>
      <w:r>
        <w:rPr>
          <w:rFonts w:ascii="宋体" w:eastAsia="宋体" w:hAnsi="宋体" w:cs="宋体"/>
          <w:b/>
          <w:bCs/>
          <w:szCs w:val="21"/>
        </w:rPr>
        <w:t>（2） 应付股利</w:t>
      </w:r>
      <w:bookmarkEnd w:id="183"/>
    </w:p>
    <w:p w:rsidR="00BE788E" w:rsidRDefault="00BE788E">
      <w:pPr>
        <w:pStyle w:val="a3"/>
        <w:divId w:val="685670298"/>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184" w:name="_Toc989211"/>
      <w:r>
        <w:rPr>
          <w:rFonts w:ascii="宋体" w:eastAsia="宋体" w:hAnsi="宋体" w:cs="宋体"/>
          <w:b/>
          <w:bCs/>
          <w:szCs w:val="21"/>
        </w:rPr>
        <w:t>（3） 其他应付款</w:t>
      </w:r>
      <w:bookmarkEnd w:id="184"/>
    </w:p>
    <w:p w:rsidR="00037019" w:rsidRDefault="00BE788E">
      <w:pPr>
        <w:keepNext/>
        <w:keepLines/>
        <w:spacing w:before="300" w:after="300" w:line="280" w:lineRule="exact"/>
        <w:outlineLvl w:val="4"/>
        <w:rPr>
          <w:rFonts w:ascii="宋体" w:eastAsia="宋体" w:hAnsi="宋体" w:cs="宋体"/>
          <w:b/>
          <w:bCs/>
          <w:sz w:val="18"/>
          <w:szCs w:val="18"/>
        </w:rPr>
      </w:pPr>
      <w:bookmarkStart w:id="185" w:name="_Toc989212"/>
      <w:r>
        <w:rPr>
          <w:rFonts w:ascii="宋体" w:eastAsia="宋体" w:hAnsi="宋体" w:cs="宋体"/>
          <w:b/>
          <w:bCs/>
          <w:sz w:val="18"/>
          <w:szCs w:val="18"/>
        </w:rPr>
        <w:t>1） 按款项性质列示其他应付款</w:t>
      </w:r>
      <w:bookmarkEnd w:id="18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质保金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547,811.98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1,163,714.83</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押金及保证金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56,318,236.29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49,987,017.22</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佣金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38,879.96</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34,344,271.30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31,643,651.95</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暂收款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28,577,413.22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32,202,031.34</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运费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30,344,031.38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28,386,241.79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电费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5,127,727.70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5,136,462.20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其他预提费用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10,767,747.68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9,977,963.71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166,027,239.55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158,535,963.00</w:t>
            </w:r>
          </w:p>
        </w:tc>
      </w:tr>
    </w:tbl>
    <w:p w:rsidR="00037019" w:rsidRDefault="00BE788E">
      <w:pPr>
        <w:keepNext/>
        <w:keepLines/>
        <w:spacing w:before="300" w:after="300" w:line="280" w:lineRule="exact"/>
        <w:outlineLvl w:val="4"/>
        <w:rPr>
          <w:rFonts w:ascii="宋体" w:eastAsia="宋体" w:hAnsi="宋体" w:cs="宋体"/>
          <w:b/>
          <w:bCs/>
          <w:sz w:val="18"/>
          <w:szCs w:val="18"/>
        </w:rPr>
      </w:pPr>
      <w:bookmarkStart w:id="186" w:name="_Toc989213"/>
      <w:r>
        <w:rPr>
          <w:rFonts w:ascii="宋体" w:eastAsia="宋体" w:hAnsi="宋体" w:cs="宋体"/>
          <w:b/>
          <w:bCs/>
          <w:sz w:val="18"/>
          <w:szCs w:val="18"/>
        </w:rPr>
        <w:t>2） 账龄超过1年或逾期的重要其他应付款</w:t>
      </w:r>
      <w:bookmarkEnd w:id="186"/>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Pr>
          <w:rFonts w:hint="eastAsia"/>
          <w:sz w:val="18"/>
          <w:szCs w:val="18"/>
        </w:rPr>
        <w:t>无。</w:t>
      </w:r>
    </w:p>
    <w:p w:rsidR="00037019" w:rsidRDefault="00BE788E">
      <w:pPr>
        <w:pStyle w:val="3"/>
        <w:spacing w:line="280" w:lineRule="exact"/>
        <w:jc w:val="left"/>
        <w:rPr>
          <w:rFonts w:ascii="宋体" w:hAnsi="宋体" w:cs="宋体"/>
          <w:b/>
          <w:bCs/>
        </w:rPr>
      </w:pPr>
      <w:bookmarkStart w:id="187" w:name="_Toc989214"/>
      <w:r>
        <w:rPr>
          <w:rFonts w:ascii="宋体" w:hAnsi="宋体" w:cs="宋体"/>
          <w:b/>
          <w:bCs/>
        </w:rPr>
        <w:t>38、预收款项</w:t>
      </w:r>
      <w:bookmarkEnd w:id="187"/>
    </w:p>
    <w:p w:rsidR="00037019" w:rsidRDefault="00BE788E">
      <w:pPr>
        <w:keepNext/>
        <w:keepLines/>
        <w:spacing w:before="300" w:after="300" w:line="280" w:lineRule="exact"/>
        <w:outlineLvl w:val="3"/>
        <w:rPr>
          <w:rFonts w:ascii="宋体" w:eastAsia="宋体" w:hAnsi="宋体" w:cs="宋体"/>
          <w:b/>
          <w:bCs/>
          <w:szCs w:val="21"/>
        </w:rPr>
      </w:pPr>
      <w:bookmarkStart w:id="188" w:name="_Toc989215"/>
      <w:r>
        <w:rPr>
          <w:rFonts w:ascii="宋体" w:eastAsia="宋体" w:hAnsi="宋体" w:cs="宋体"/>
          <w:b/>
          <w:bCs/>
          <w:szCs w:val="21"/>
        </w:rPr>
        <w:t>（1） 预收款项列示</w:t>
      </w:r>
      <w:bookmarkEnd w:id="18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预收租金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9,909,164.85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7,293,483.28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9,909,164.85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7,293,483.28</w:t>
            </w:r>
          </w:p>
        </w:tc>
      </w:tr>
    </w:tbl>
    <w:p w:rsidR="00037019" w:rsidRDefault="00BE788E">
      <w:pPr>
        <w:keepNext/>
        <w:keepLines/>
        <w:spacing w:before="300" w:after="300" w:line="280" w:lineRule="exact"/>
        <w:outlineLvl w:val="3"/>
        <w:rPr>
          <w:rFonts w:ascii="宋体" w:eastAsia="宋体" w:hAnsi="宋体" w:cs="宋体"/>
          <w:b/>
          <w:bCs/>
          <w:szCs w:val="21"/>
        </w:rPr>
      </w:pPr>
      <w:bookmarkStart w:id="189" w:name="_Toc989216"/>
      <w:r>
        <w:rPr>
          <w:rFonts w:ascii="宋体" w:eastAsia="宋体" w:hAnsi="宋体" w:cs="宋体"/>
          <w:b/>
          <w:bCs/>
          <w:szCs w:val="21"/>
        </w:rPr>
        <w:t>（2） 账龄超过1年或逾期的重要预收款项</w:t>
      </w:r>
      <w:bookmarkEnd w:id="189"/>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90" w:name="_Toc989217"/>
      <w:r>
        <w:rPr>
          <w:rFonts w:ascii="宋体" w:hAnsi="宋体" w:cs="宋体"/>
          <w:b/>
          <w:bCs/>
        </w:rPr>
        <w:t>39、合同负债</w:t>
      </w:r>
      <w:bookmarkEnd w:id="19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预收货款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452,776,847.26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715,430,170.40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452,776,847.26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715,430,170.40</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账龄超过1年的重要合同负债</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lastRenderedPageBreak/>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未偿</w:t>
            </w:r>
            <w:proofErr w:type="gramEnd"/>
            <w:r>
              <w:rPr>
                <w:rFonts w:ascii="宋体" w:eastAsia="宋体" w:hAnsi="宋体" w:cs="宋体"/>
                <w:sz w:val="18"/>
                <w:szCs w:val="18"/>
              </w:rPr>
              <w:t>还或结转的原因</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徐州华鹏棉麻有限公司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2,837,589.39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未达到结算条件</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2,837,589.39</w:t>
            </w:r>
          </w:p>
        </w:tc>
        <w:tc>
          <w:tcPr>
            <w:tcW w:w="3213"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037019" w:rsidRDefault="00BE788E">
      <w:pPr>
        <w:pStyle w:val="3"/>
        <w:spacing w:line="280" w:lineRule="exact"/>
        <w:jc w:val="left"/>
        <w:rPr>
          <w:rFonts w:ascii="宋体" w:hAnsi="宋体" w:cs="宋体"/>
          <w:b/>
          <w:bCs/>
        </w:rPr>
      </w:pPr>
      <w:bookmarkStart w:id="191" w:name="_Toc989218"/>
      <w:r>
        <w:rPr>
          <w:rFonts w:ascii="宋体" w:hAnsi="宋体" w:cs="宋体"/>
          <w:b/>
          <w:bCs/>
        </w:rPr>
        <w:t>40、应付职工薪</w:t>
      </w:r>
      <w:proofErr w:type="gramStart"/>
      <w:r>
        <w:rPr>
          <w:rFonts w:ascii="宋体" w:hAnsi="宋体" w:cs="宋体"/>
          <w:b/>
          <w:bCs/>
        </w:rPr>
        <w:t>酬</w:t>
      </w:r>
      <w:bookmarkEnd w:id="191"/>
      <w:proofErr w:type="gramEnd"/>
    </w:p>
    <w:p w:rsidR="00037019" w:rsidRDefault="00BE788E">
      <w:pPr>
        <w:keepNext/>
        <w:keepLines/>
        <w:spacing w:before="300" w:after="300" w:line="280" w:lineRule="exact"/>
        <w:outlineLvl w:val="3"/>
        <w:rPr>
          <w:rFonts w:ascii="宋体" w:eastAsia="宋体" w:hAnsi="宋体" w:cs="宋体"/>
          <w:b/>
          <w:bCs/>
          <w:szCs w:val="21"/>
        </w:rPr>
      </w:pPr>
      <w:bookmarkStart w:id="192" w:name="_Toc989219"/>
      <w:r>
        <w:rPr>
          <w:rFonts w:ascii="宋体" w:eastAsia="宋体" w:hAnsi="宋体" w:cs="宋体"/>
          <w:b/>
          <w:bCs/>
          <w:szCs w:val="21"/>
        </w:rPr>
        <w:t>（1） 应付职工薪</w:t>
      </w:r>
      <w:proofErr w:type="gramStart"/>
      <w:r>
        <w:rPr>
          <w:rFonts w:ascii="宋体" w:eastAsia="宋体" w:hAnsi="宋体" w:cs="宋体"/>
          <w:b/>
          <w:bCs/>
          <w:szCs w:val="21"/>
        </w:rPr>
        <w:t>酬</w:t>
      </w:r>
      <w:proofErr w:type="gramEnd"/>
      <w:r>
        <w:rPr>
          <w:rFonts w:ascii="宋体" w:eastAsia="宋体" w:hAnsi="宋体" w:cs="宋体"/>
          <w:b/>
          <w:bCs/>
          <w:szCs w:val="21"/>
        </w:rPr>
        <w:t>列示</w:t>
      </w:r>
      <w:bookmarkEnd w:id="192"/>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一、短期薪酬</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68,750,503.64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384,800,324.74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396,410,045.33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57,140,783.05</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二、离职后福利-设定提存计划</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1,150,391.82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25,187,868.23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26,121,918.54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216,341.51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三、辞退福利</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415,140.10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415,140.10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69,900,895.46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410,403,333.07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422,947,103.97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57,357,124.56</w:t>
            </w:r>
          </w:p>
        </w:tc>
      </w:tr>
    </w:tbl>
    <w:p w:rsidR="00037019" w:rsidRDefault="00BE788E">
      <w:pPr>
        <w:keepNext/>
        <w:keepLines/>
        <w:spacing w:before="300" w:after="300" w:line="280" w:lineRule="exact"/>
        <w:outlineLvl w:val="3"/>
        <w:rPr>
          <w:rFonts w:ascii="宋体" w:eastAsia="宋体" w:hAnsi="宋体" w:cs="宋体"/>
          <w:b/>
          <w:bCs/>
          <w:szCs w:val="21"/>
        </w:rPr>
      </w:pPr>
      <w:bookmarkStart w:id="193" w:name="_Toc989220"/>
      <w:r>
        <w:rPr>
          <w:rFonts w:ascii="宋体" w:eastAsia="宋体" w:hAnsi="宋体" w:cs="宋体"/>
          <w:b/>
          <w:bCs/>
          <w:szCs w:val="21"/>
        </w:rPr>
        <w:t>（2） 短期薪酬列示</w:t>
      </w:r>
      <w:bookmarkEnd w:id="19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1、工资、奖金、津贴和补贴</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62,849,077.48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363,953,930.02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375,540,161.49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51,262,846.01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2、职工福利费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561,674.44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3,144,342.45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3,100,813.55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605,203.34</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3、社会保险费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2,336,268.17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14,638,151.47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15,167,580.39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1,806,839.25</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8561C1">
            <w:pPr>
              <w:spacing w:before="40" w:after="40" w:line="240" w:lineRule="exact"/>
              <w:rPr>
                <w:rFonts w:ascii="宋体" w:eastAsia="宋体" w:hAnsi="宋体" w:cs="宋体"/>
                <w:sz w:val="18"/>
                <w:szCs w:val="18"/>
              </w:rPr>
            </w:pPr>
            <w:r>
              <w:rPr>
                <w:rFonts w:ascii="宋体" w:eastAsia="宋体" w:hAnsi="宋体" w:cs="宋体"/>
                <w:sz w:val="18"/>
                <w:szCs w:val="18"/>
              </w:rPr>
              <w:t>其中：医疗保险费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2,311,300.10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13,052,753.10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13,565,806.74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1,798,246.46</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8561C1">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工伤保险费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24,006.50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1,562,273.39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1,578,976.67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7,303.22</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8561C1">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生育保险费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961.57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23,124.98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22,796.98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1,289.57</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4、住房公积金</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117,222.00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1,228,857.51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1,215,806.76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130,272.75</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5、工会经费和职工教育经费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2,886,261.55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1,835,043.29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1,385,683.14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3,335,621.70</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68,750,503.64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384,800,324.74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396,410,045.33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57,140,783.05</w:t>
            </w:r>
          </w:p>
        </w:tc>
      </w:tr>
    </w:tbl>
    <w:p w:rsidR="00037019" w:rsidRDefault="00BE788E">
      <w:pPr>
        <w:keepNext/>
        <w:keepLines/>
        <w:spacing w:before="300" w:after="300" w:line="280" w:lineRule="exact"/>
        <w:outlineLvl w:val="3"/>
        <w:rPr>
          <w:rFonts w:ascii="宋体" w:eastAsia="宋体" w:hAnsi="宋体" w:cs="宋体"/>
          <w:b/>
          <w:bCs/>
          <w:szCs w:val="21"/>
        </w:rPr>
      </w:pPr>
      <w:bookmarkStart w:id="194" w:name="_Toc989221"/>
      <w:r>
        <w:rPr>
          <w:rFonts w:ascii="宋体" w:eastAsia="宋体" w:hAnsi="宋体" w:cs="宋体"/>
          <w:b/>
          <w:bCs/>
          <w:szCs w:val="21"/>
        </w:rPr>
        <w:t>（3） 设定提存计划列示</w:t>
      </w:r>
      <w:bookmarkEnd w:id="19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1、基本养老保险</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915,892.96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24,398,091.93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25,175,123.19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138,861.70</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2、失业保险费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234,498.86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789,776.30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946,795.35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77,479.81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1,150,391.82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25,187,868.23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26,121,918.54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216,341.51</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Pr>
          <w:rFonts w:hint="eastAsia"/>
          <w:sz w:val="18"/>
          <w:szCs w:val="18"/>
        </w:rPr>
        <w:t>无。</w:t>
      </w:r>
    </w:p>
    <w:p w:rsidR="00037019" w:rsidRDefault="00BE788E">
      <w:pPr>
        <w:pStyle w:val="3"/>
        <w:spacing w:line="280" w:lineRule="exact"/>
        <w:jc w:val="left"/>
        <w:rPr>
          <w:rFonts w:ascii="宋体" w:hAnsi="宋体" w:cs="宋体"/>
          <w:b/>
          <w:bCs/>
        </w:rPr>
      </w:pPr>
      <w:bookmarkStart w:id="195" w:name="_Toc989222"/>
      <w:r>
        <w:rPr>
          <w:rFonts w:ascii="宋体" w:hAnsi="宋体" w:cs="宋体"/>
          <w:b/>
          <w:bCs/>
        </w:rPr>
        <w:t>41、应交税费</w:t>
      </w:r>
      <w:bookmarkEnd w:id="19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增值税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7,012,419.01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26,124,633.11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企业所得税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4,170,400.71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29,718,268.53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个人所得税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9,047,204.32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6,910,523.40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672,753.07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1,659,224.97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房产税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5,008,046.11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6,337,832.84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土地使用税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3,991,051.59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7,318,875.23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463,894.08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1,176,695.70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5,009,472.45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3,615,956.69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35,375,241.34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82,862,010.47</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Pr>
          <w:rFonts w:hint="eastAsia"/>
          <w:sz w:val="18"/>
          <w:szCs w:val="18"/>
        </w:rPr>
        <w:t>无。</w:t>
      </w:r>
    </w:p>
    <w:p w:rsidR="00037019" w:rsidRDefault="00BE788E">
      <w:pPr>
        <w:pStyle w:val="3"/>
        <w:spacing w:line="280" w:lineRule="exact"/>
        <w:jc w:val="left"/>
        <w:rPr>
          <w:rFonts w:ascii="宋体" w:hAnsi="宋体" w:cs="宋体"/>
          <w:b/>
          <w:bCs/>
        </w:rPr>
      </w:pPr>
      <w:bookmarkStart w:id="196" w:name="_Toc989223"/>
      <w:r>
        <w:rPr>
          <w:rFonts w:ascii="宋体" w:hAnsi="宋体" w:cs="宋体"/>
          <w:b/>
          <w:bCs/>
        </w:rPr>
        <w:t>42、持有待售负债</w:t>
      </w:r>
      <w:bookmarkEnd w:id="196"/>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Pr>
          <w:rFonts w:hint="eastAsia"/>
          <w:sz w:val="18"/>
          <w:szCs w:val="18"/>
        </w:rPr>
        <w:t>无。</w:t>
      </w:r>
    </w:p>
    <w:p w:rsidR="00037019" w:rsidRDefault="00BE788E">
      <w:pPr>
        <w:pStyle w:val="3"/>
        <w:spacing w:line="280" w:lineRule="exact"/>
        <w:jc w:val="left"/>
        <w:rPr>
          <w:rFonts w:ascii="宋体" w:hAnsi="宋体" w:cs="宋体"/>
          <w:b/>
          <w:bCs/>
        </w:rPr>
      </w:pPr>
      <w:bookmarkStart w:id="197" w:name="_Toc989224"/>
      <w:r>
        <w:rPr>
          <w:rFonts w:ascii="宋体" w:hAnsi="宋体" w:cs="宋体"/>
          <w:b/>
          <w:bCs/>
        </w:rPr>
        <w:t>43、一年内到期的非流动负债</w:t>
      </w:r>
      <w:bookmarkEnd w:id="19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405,557,251.58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403,964,996.14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7,157,825.82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11,282,582.60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计提的长期借款利息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1,304,155.71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582,748.42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414,019,233.11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415,830,327.16</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98" w:name="_Toc989225"/>
      <w:r>
        <w:rPr>
          <w:rFonts w:ascii="宋体" w:hAnsi="宋体" w:cs="宋体"/>
          <w:b/>
          <w:bCs/>
        </w:rPr>
        <w:t>44、其他流动负债</w:t>
      </w:r>
      <w:bookmarkEnd w:id="19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待结转增值税额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46,295,090.51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65,480,068.80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46,295,090.51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65,480,068.80</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199" w:name="_Toc989226"/>
      <w:r>
        <w:rPr>
          <w:rFonts w:ascii="宋体" w:hAnsi="宋体" w:cs="宋体"/>
          <w:b/>
          <w:bCs/>
        </w:rPr>
        <w:t>45、长期借款</w:t>
      </w:r>
      <w:bookmarkEnd w:id="199"/>
    </w:p>
    <w:p w:rsidR="00037019" w:rsidRDefault="00BE788E">
      <w:pPr>
        <w:keepNext/>
        <w:keepLines/>
        <w:spacing w:before="300" w:after="300" w:line="280" w:lineRule="exact"/>
        <w:outlineLvl w:val="3"/>
        <w:rPr>
          <w:rFonts w:ascii="宋体" w:eastAsia="宋体" w:hAnsi="宋体" w:cs="宋体"/>
          <w:b/>
          <w:bCs/>
          <w:sz w:val="18"/>
          <w:szCs w:val="18"/>
        </w:rPr>
      </w:pPr>
      <w:bookmarkStart w:id="200" w:name="_Toc989227"/>
      <w:r>
        <w:rPr>
          <w:rFonts w:ascii="宋体" w:eastAsia="宋体" w:hAnsi="宋体" w:cs="宋体"/>
          <w:b/>
          <w:bCs/>
          <w:sz w:val="18"/>
          <w:szCs w:val="18"/>
        </w:rPr>
        <w:t>（1） 长期借款分类</w:t>
      </w:r>
      <w:bookmarkEnd w:id="20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379,550,000.00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282,758,394.50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信用借款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3,642,973.62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185,362,727.15</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保证、抵押借款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872,988,438.84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662,238,233.03</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未到期应付利息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721,407.29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649,622.19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减：一年内到期的长期借款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-406,861,407.29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-404,547,744.56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850,041,412.46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726,461,232.31</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长期借款分类的说明：</w:t>
      </w:r>
      <w:r>
        <w:rPr>
          <w:rFonts w:hint="eastAsia"/>
          <w:sz w:val="18"/>
          <w:szCs w:val="18"/>
        </w:rPr>
        <w:t>无。</w:t>
      </w:r>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其他说明，包括利率区间：</w:t>
      </w:r>
      <w:r>
        <w:rPr>
          <w:rFonts w:hint="eastAsia"/>
          <w:sz w:val="18"/>
          <w:szCs w:val="18"/>
        </w:rPr>
        <w:t>无。</w:t>
      </w:r>
    </w:p>
    <w:p w:rsidR="00037019" w:rsidRDefault="00BE788E">
      <w:pPr>
        <w:pStyle w:val="3"/>
        <w:spacing w:line="280" w:lineRule="exact"/>
        <w:jc w:val="left"/>
        <w:rPr>
          <w:rFonts w:ascii="宋体" w:hAnsi="宋体" w:cs="宋体"/>
          <w:b/>
          <w:bCs/>
        </w:rPr>
      </w:pPr>
      <w:bookmarkStart w:id="201" w:name="_Toc989228"/>
      <w:r>
        <w:rPr>
          <w:rFonts w:ascii="宋体" w:hAnsi="宋体" w:cs="宋体"/>
          <w:b/>
          <w:bCs/>
        </w:rPr>
        <w:t>46、应付债券</w:t>
      </w:r>
      <w:bookmarkEnd w:id="20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sz w:val="18"/>
          <w:szCs w:val="18"/>
        </w:rPr>
        <w:t>：无</w:t>
      </w:r>
    </w:p>
    <w:p w:rsidR="00037019" w:rsidRDefault="00BE788E">
      <w:pPr>
        <w:pStyle w:val="3"/>
        <w:spacing w:line="280" w:lineRule="exact"/>
        <w:jc w:val="left"/>
        <w:rPr>
          <w:rFonts w:ascii="宋体" w:hAnsi="宋体" w:cs="宋体"/>
          <w:b/>
          <w:bCs/>
        </w:rPr>
      </w:pPr>
      <w:bookmarkStart w:id="202" w:name="_Toc989233"/>
      <w:r>
        <w:rPr>
          <w:rFonts w:ascii="宋体" w:hAnsi="宋体" w:cs="宋体"/>
          <w:b/>
          <w:bCs/>
        </w:rPr>
        <w:t>47、租赁负债</w:t>
      </w:r>
      <w:bookmarkEnd w:id="202"/>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租赁房屋建筑物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26,061,570.81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28,836,917.19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租赁设备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523,598.73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523,598.73</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减：未确认融资费用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-1,377,985.78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-2,086,836.79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减：一年内到期的租赁负债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-7,157,825.82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-11,282,582.60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18,049,357.94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15,991,096.53</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03" w:name="_Toc989234"/>
      <w:r>
        <w:rPr>
          <w:rFonts w:ascii="宋体" w:hAnsi="宋体" w:cs="宋体"/>
          <w:b/>
          <w:bCs/>
        </w:rPr>
        <w:t>48、长期应付款</w:t>
      </w:r>
      <w:bookmarkEnd w:id="20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244,290,262.78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244,367,138.45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244,290,262.78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244,367,138.45</w:t>
            </w:r>
          </w:p>
        </w:tc>
      </w:tr>
    </w:tbl>
    <w:p w:rsidR="00037019" w:rsidRDefault="00BE788E">
      <w:pPr>
        <w:keepNext/>
        <w:keepLines/>
        <w:spacing w:before="300" w:after="300" w:line="280" w:lineRule="exact"/>
        <w:outlineLvl w:val="3"/>
        <w:rPr>
          <w:rFonts w:ascii="宋体" w:eastAsia="宋体" w:hAnsi="宋体" w:cs="宋体"/>
          <w:b/>
          <w:bCs/>
          <w:sz w:val="18"/>
          <w:szCs w:val="18"/>
        </w:rPr>
      </w:pPr>
      <w:bookmarkStart w:id="204" w:name="_Toc989235"/>
      <w:r>
        <w:rPr>
          <w:rFonts w:ascii="宋体" w:eastAsia="宋体" w:hAnsi="宋体" w:cs="宋体"/>
          <w:b/>
          <w:bCs/>
          <w:sz w:val="18"/>
          <w:szCs w:val="18"/>
        </w:rPr>
        <w:t>（1） 按款项性质列示长期应付款</w:t>
      </w:r>
      <w:bookmarkEnd w:id="20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担保损失备付金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4,290,262.78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4,367,138.45</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附限制</w:t>
            </w:r>
            <w:proofErr w:type="gramEnd"/>
            <w:r>
              <w:rPr>
                <w:rFonts w:ascii="宋体" w:eastAsia="宋体" w:hAnsi="宋体" w:cs="宋体"/>
                <w:sz w:val="18"/>
                <w:szCs w:val="18"/>
              </w:rPr>
              <w:t>条件的投资款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220,000,000.00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220,000,000.00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股权款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205" w:name="_Toc989236"/>
      <w:r>
        <w:rPr>
          <w:rFonts w:ascii="宋体" w:eastAsia="宋体" w:hAnsi="宋体" w:cs="宋体"/>
          <w:b/>
          <w:bCs/>
          <w:sz w:val="18"/>
          <w:szCs w:val="18"/>
        </w:rPr>
        <w:t>（2） 专项应付款</w:t>
      </w:r>
      <w:bookmarkEnd w:id="205"/>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06" w:name="_Toc989237"/>
      <w:r>
        <w:rPr>
          <w:rFonts w:ascii="宋体" w:hAnsi="宋体" w:cs="宋体"/>
          <w:b/>
          <w:bCs/>
        </w:rPr>
        <w:t>49、长期应付职工薪</w:t>
      </w:r>
      <w:proofErr w:type="gramStart"/>
      <w:r>
        <w:rPr>
          <w:rFonts w:ascii="宋体" w:hAnsi="宋体" w:cs="宋体"/>
          <w:b/>
          <w:bCs/>
        </w:rPr>
        <w:t>酬</w:t>
      </w:r>
      <w:bookmarkEnd w:id="206"/>
      <w:proofErr w:type="gramEnd"/>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07" w:name="_Toc989240"/>
      <w:r>
        <w:rPr>
          <w:rFonts w:ascii="宋体" w:hAnsi="宋体" w:cs="宋体"/>
          <w:b/>
          <w:bCs/>
        </w:rPr>
        <w:t>50、预计负债</w:t>
      </w:r>
      <w:bookmarkEnd w:id="20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w:t>
            </w:r>
          </w:p>
        </w:tc>
      </w:tr>
      <w:tr w:rsidR="00037019" w:rsidTr="008561C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产品质量保证</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8561C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其他说明，包括重要预计负债的相关重要假设、估计说明：</w:t>
      </w:r>
      <w:r>
        <w:rPr>
          <w:rFonts w:hint="eastAsia"/>
          <w:sz w:val="18"/>
          <w:szCs w:val="18"/>
        </w:rPr>
        <w:t>无。</w:t>
      </w:r>
    </w:p>
    <w:p w:rsidR="00037019" w:rsidRDefault="00BE788E">
      <w:pPr>
        <w:pStyle w:val="3"/>
        <w:spacing w:line="280" w:lineRule="exact"/>
        <w:jc w:val="left"/>
        <w:rPr>
          <w:rFonts w:ascii="宋体" w:hAnsi="宋体" w:cs="宋体"/>
          <w:b/>
          <w:bCs/>
        </w:rPr>
      </w:pPr>
      <w:bookmarkStart w:id="208" w:name="_Toc989241"/>
      <w:r>
        <w:rPr>
          <w:rFonts w:ascii="宋体" w:hAnsi="宋体" w:cs="宋体"/>
          <w:b/>
          <w:bCs/>
        </w:rPr>
        <w:t>51、递延收益</w:t>
      </w:r>
      <w:bookmarkEnd w:id="208"/>
    </w:p>
    <w:p w:rsidR="008561C1" w:rsidRDefault="008561C1" w:rsidP="008561C1"/>
    <w:p w:rsidR="008561C1" w:rsidRPr="008561C1" w:rsidRDefault="008561C1" w:rsidP="008561C1"/>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w:t>
            </w:r>
          </w:p>
        </w:tc>
      </w:tr>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政府补助</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35,626,316.46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1,214,541.48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34,411,774.98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详见十一、政府补助</w:t>
            </w:r>
          </w:p>
        </w:tc>
      </w:tr>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35,626,316.46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1,214,541.48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34,411,774.98</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09" w:name="_Toc989242"/>
      <w:r>
        <w:rPr>
          <w:rFonts w:ascii="宋体" w:hAnsi="宋体" w:cs="宋体"/>
          <w:b/>
          <w:bCs/>
        </w:rPr>
        <w:t>52、其他非流动负债</w:t>
      </w:r>
      <w:bookmarkEnd w:id="209"/>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10" w:name="_Toc989243"/>
      <w:r>
        <w:rPr>
          <w:rFonts w:ascii="宋体" w:hAnsi="宋体" w:cs="宋体"/>
          <w:b/>
          <w:bCs/>
        </w:rPr>
        <w:t>53、股本</w:t>
      </w:r>
      <w:bookmarkEnd w:id="21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881"/>
        <w:gridCol w:w="1276"/>
        <w:gridCol w:w="850"/>
        <w:gridCol w:w="1276"/>
        <w:gridCol w:w="709"/>
        <w:gridCol w:w="709"/>
        <w:gridCol w:w="1734"/>
      </w:tblGrid>
      <w:tr w:rsidR="00037019" w:rsidTr="008561C1">
        <w:trPr>
          <w:trHeight w:val="240"/>
        </w:trPr>
        <w:tc>
          <w:tcPr>
            <w:tcW w:w="120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88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482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本次变动增减（+、-）</w:t>
            </w:r>
          </w:p>
        </w:tc>
        <w:tc>
          <w:tcPr>
            <w:tcW w:w="173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8561C1">
        <w:trPr>
          <w:trHeight w:val="240"/>
        </w:trPr>
        <w:tc>
          <w:tcPr>
            <w:tcW w:w="120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88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发行新股</w:t>
            </w:r>
          </w:p>
        </w:tc>
        <w:tc>
          <w:tcPr>
            <w:tcW w:w="85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送股</w:t>
            </w:r>
          </w:p>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公积金转股</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173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8561C1">
        <w:trPr>
          <w:trHeight w:val="240"/>
        </w:trPr>
        <w:tc>
          <w:tcPr>
            <w:tcW w:w="120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股份总数</w:t>
            </w:r>
          </w:p>
        </w:tc>
        <w:tc>
          <w:tcPr>
            <w:tcW w:w="188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11" w:name="_Toc989244"/>
      <w:r>
        <w:rPr>
          <w:rFonts w:ascii="宋体" w:hAnsi="宋体" w:cs="宋体"/>
          <w:b/>
          <w:bCs/>
        </w:rPr>
        <w:t>54、其他权益工具</w:t>
      </w:r>
      <w:bookmarkEnd w:id="211"/>
    </w:p>
    <w:p w:rsidR="00037019" w:rsidRDefault="00BE788E">
      <w:pPr>
        <w:keepNext/>
        <w:keepLines/>
        <w:spacing w:before="300" w:after="300" w:line="280" w:lineRule="exact"/>
        <w:outlineLvl w:val="3"/>
        <w:rPr>
          <w:rFonts w:ascii="宋体" w:eastAsia="宋体" w:hAnsi="宋体" w:cs="宋体"/>
          <w:b/>
          <w:bCs/>
          <w:sz w:val="18"/>
          <w:szCs w:val="18"/>
        </w:rPr>
      </w:pPr>
      <w:bookmarkStart w:id="212" w:name="_Toc989245"/>
      <w:r>
        <w:rPr>
          <w:rFonts w:ascii="宋体" w:eastAsia="宋体" w:hAnsi="宋体" w:cs="宋体"/>
          <w:b/>
          <w:bCs/>
          <w:sz w:val="18"/>
          <w:szCs w:val="18"/>
        </w:rPr>
        <w:t>（1） 期末发行在外的优先股、永续债等其他金融工具基本情况</w:t>
      </w:r>
      <w:bookmarkEnd w:id="212"/>
    </w:p>
    <w:p w:rsidR="00BE788E" w:rsidRDefault="008561C1">
      <w:pPr>
        <w:pStyle w:val="a3"/>
        <w:divId w:val="1586449377"/>
        <w:rPr>
          <w:sz w:val="18"/>
          <w:szCs w:val="18"/>
        </w:rPr>
      </w:pPr>
      <w:r>
        <w:rPr>
          <w:rFonts w:hint="eastAsia"/>
          <w:sz w:val="18"/>
          <w:szCs w:val="18"/>
        </w:rPr>
        <w:t>无</w:t>
      </w:r>
    </w:p>
    <w:p w:rsidR="008561C1" w:rsidRDefault="00BE788E" w:rsidP="008561C1">
      <w:pPr>
        <w:keepNext/>
        <w:keepLines/>
        <w:spacing w:before="300" w:after="300" w:line="280" w:lineRule="exact"/>
        <w:outlineLvl w:val="3"/>
        <w:rPr>
          <w:rFonts w:ascii="宋体" w:eastAsia="宋体" w:hAnsi="宋体" w:cs="宋体"/>
          <w:b/>
          <w:bCs/>
          <w:sz w:val="18"/>
          <w:szCs w:val="18"/>
        </w:rPr>
      </w:pPr>
      <w:bookmarkStart w:id="213" w:name="_Toc989246"/>
      <w:r>
        <w:rPr>
          <w:rFonts w:ascii="宋体" w:eastAsia="宋体" w:hAnsi="宋体" w:cs="宋体"/>
          <w:b/>
          <w:bCs/>
          <w:sz w:val="18"/>
          <w:szCs w:val="18"/>
        </w:rPr>
        <w:t>（2） 期末发行在外的优先股、永续债等金融工具变动情况表</w:t>
      </w:r>
      <w:bookmarkEnd w:id="213"/>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14" w:name="_Toc989247"/>
      <w:r>
        <w:rPr>
          <w:rFonts w:ascii="宋体" w:hAnsi="宋体" w:cs="宋体"/>
          <w:b/>
          <w:bCs/>
        </w:rPr>
        <w:t>55、资本公积</w:t>
      </w:r>
      <w:bookmarkEnd w:id="21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660"/>
        <w:gridCol w:w="1744"/>
        <w:gridCol w:w="1745"/>
        <w:gridCol w:w="1745"/>
        <w:gridCol w:w="1745"/>
      </w:tblGrid>
      <w:tr w:rsidR="00037019" w:rsidTr="008561C1">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7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74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74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74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8561C1">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资本溢价（股本溢价）</w:t>
            </w:r>
          </w:p>
        </w:tc>
        <w:tc>
          <w:tcPr>
            <w:tcW w:w="174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2,715,159,506.76</w:t>
            </w: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2,715,159,506.76</w:t>
            </w:r>
          </w:p>
        </w:tc>
      </w:tr>
      <w:tr w:rsidR="00037019" w:rsidTr="008561C1">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其他资本公积</w:t>
            </w:r>
          </w:p>
        </w:tc>
        <w:tc>
          <w:tcPr>
            <w:tcW w:w="174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23,189,447.04</w:t>
            </w: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23,189,447.04</w:t>
            </w:r>
          </w:p>
        </w:tc>
      </w:tr>
      <w:tr w:rsidR="00037019" w:rsidTr="008561C1">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74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2,738,348,953.80</w:t>
            </w: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2,738,348,953.80</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其他说明，包括本期增减变动情况、变动原因说明：</w:t>
      </w:r>
      <w:r>
        <w:rPr>
          <w:rFonts w:hint="eastAsia"/>
          <w:sz w:val="18"/>
          <w:szCs w:val="18"/>
        </w:rPr>
        <w:t>无。</w:t>
      </w:r>
    </w:p>
    <w:p w:rsidR="00037019" w:rsidRDefault="00BE788E">
      <w:pPr>
        <w:pStyle w:val="3"/>
        <w:spacing w:line="280" w:lineRule="exact"/>
        <w:jc w:val="left"/>
        <w:rPr>
          <w:rFonts w:ascii="宋体" w:hAnsi="宋体" w:cs="宋体"/>
          <w:b/>
          <w:bCs/>
        </w:rPr>
      </w:pPr>
      <w:bookmarkStart w:id="215" w:name="_Toc989248"/>
      <w:r>
        <w:rPr>
          <w:rFonts w:ascii="宋体" w:hAnsi="宋体" w:cs="宋体"/>
          <w:b/>
          <w:bCs/>
        </w:rPr>
        <w:lastRenderedPageBreak/>
        <w:t>56、库存股</w:t>
      </w:r>
      <w:bookmarkEnd w:id="21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库存股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300,104,207.84</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300,104,207.84</w:t>
            </w:r>
          </w:p>
        </w:tc>
      </w:tr>
    </w:tbl>
    <w:p w:rsidR="00037019" w:rsidRDefault="00BE788E" w:rsidP="008561C1">
      <w:pPr>
        <w:rPr>
          <w:rFonts w:ascii="宋体" w:eastAsia="宋体" w:hAnsi="宋体" w:cs="宋体"/>
          <w:sz w:val="18"/>
          <w:szCs w:val="18"/>
        </w:rPr>
      </w:pPr>
      <w:r>
        <w:rPr>
          <w:rFonts w:ascii="宋体" w:eastAsia="宋体" w:hAnsi="宋体" w:cs="宋体"/>
          <w:sz w:val="18"/>
          <w:szCs w:val="18"/>
        </w:rPr>
        <w:t>其他说明，包括本期增减变动情况、变动原因说明：</w:t>
      </w:r>
    </w:p>
    <w:p w:rsidR="00BE788E" w:rsidRDefault="00BE788E" w:rsidP="008561C1">
      <w:pPr>
        <w:pStyle w:val="a3"/>
        <w:spacing w:before="0" w:beforeAutospacing="0" w:after="0" w:afterAutospacing="0"/>
        <w:divId w:val="32387804"/>
        <w:rPr>
          <w:sz w:val="18"/>
          <w:szCs w:val="18"/>
        </w:rPr>
      </w:pPr>
      <w:r>
        <w:rPr>
          <w:rFonts w:hint="eastAsia"/>
          <w:sz w:val="18"/>
          <w:szCs w:val="18"/>
        </w:rPr>
        <w:t>库存股情况说明：于2024年1月31日召开第八届董事会2024年第二次临时会议，审议通过了《关于2024年回购公司股份方案的议案》。本次回购的股份种类为公司发行的人民币普通股（A股），回购股份的资金总额不低于人民币10,000万元，不超过人民币20,000万元，回购股份的价格不超过5.5元/股。截止2024年6月30日，公司已累计通过股票回购专用证券账户以集中竞价交易方式回购股份34403171股，占公司总股本2.02%。</w:t>
      </w:r>
    </w:p>
    <w:p w:rsidR="00037019" w:rsidRDefault="00BE788E">
      <w:pPr>
        <w:pStyle w:val="3"/>
        <w:spacing w:line="280" w:lineRule="exact"/>
        <w:jc w:val="left"/>
        <w:rPr>
          <w:rFonts w:ascii="宋体" w:hAnsi="宋体" w:cs="宋体"/>
          <w:b/>
          <w:bCs/>
        </w:rPr>
      </w:pPr>
      <w:bookmarkStart w:id="216" w:name="_Toc989249"/>
      <w:r>
        <w:rPr>
          <w:rFonts w:ascii="宋体" w:hAnsi="宋体" w:cs="宋体"/>
          <w:b/>
          <w:bCs/>
        </w:rPr>
        <w:t>57、其他综合收益</w:t>
      </w:r>
      <w:bookmarkEnd w:id="21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37019">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6426"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本期所得税前发生额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减：前期计入其他综合收益当期转入损益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减：前期计入其他综合收益当期转入留存收益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减：所得税费用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税后归属于母公司</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税后归属于少数股东</w:t>
            </w: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一、不能重分类进损益的其他综合收益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3,435,267.93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4,360,372.81</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权益法下不能转损益的其他综合收益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-568,156.44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-568,156.44</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其他权益工具投资公允价值变动</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4,003,424.37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4,928,529.25</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二、将重分类进损益的其他综合收益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-99,588,773.93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-67,916,889.12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-67,916,889.12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-167,505,663.05</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外币财务报表折算差额</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-99,588,773.93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-67,916,889.12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-67,916,889.12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-167,505,663.05</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其他综合收益合计</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-96,153,506.00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-66,991,784.24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-66,991,784.24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-163,145,290.24</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其他说明，包括对现金流量套期损益的有效部分转为被套</w:t>
      </w:r>
      <w:proofErr w:type="gramStart"/>
      <w:r>
        <w:rPr>
          <w:rFonts w:ascii="宋体" w:eastAsia="宋体" w:hAnsi="宋体" w:cs="宋体"/>
          <w:sz w:val="18"/>
          <w:szCs w:val="18"/>
        </w:rPr>
        <w:t>期项目</w:t>
      </w:r>
      <w:proofErr w:type="gramEnd"/>
      <w:r>
        <w:rPr>
          <w:rFonts w:ascii="宋体" w:eastAsia="宋体" w:hAnsi="宋体" w:cs="宋体"/>
          <w:sz w:val="18"/>
          <w:szCs w:val="18"/>
        </w:rPr>
        <w:t>初始确认金额调整：</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17" w:name="_Toc989250"/>
      <w:r>
        <w:rPr>
          <w:rFonts w:ascii="宋体" w:hAnsi="宋体" w:cs="宋体"/>
          <w:b/>
          <w:bCs/>
        </w:rPr>
        <w:t>58、专项储备</w:t>
      </w:r>
      <w:bookmarkEnd w:id="217"/>
    </w:p>
    <w:p w:rsidR="00BE788E" w:rsidRDefault="008561C1">
      <w:pPr>
        <w:pStyle w:val="a3"/>
        <w:divId w:val="1905526358"/>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218" w:name="_Toc989251"/>
      <w:r>
        <w:rPr>
          <w:rFonts w:ascii="宋体" w:hAnsi="宋体" w:cs="宋体"/>
          <w:b/>
          <w:bCs/>
        </w:rPr>
        <w:lastRenderedPageBreak/>
        <w:t>59、盈余公积</w:t>
      </w:r>
      <w:bookmarkEnd w:id="21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法定盈余公积</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337,688,983.81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337,688,983.81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任意盈余公积</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1,778,753.91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1,778,753.91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339,467,737.72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339,467,737.72</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盈余公积说明，包括本期增减变动情况、变动原因说明：</w:t>
      </w:r>
      <w:r>
        <w:rPr>
          <w:rFonts w:hint="eastAsia"/>
          <w:sz w:val="18"/>
          <w:szCs w:val="18"/>
        </w:rPr>
        <w:t>无。</w:t>
      </w:r>
    </w:p>
    <w:p w:rsidR="00037019" w:rsidRDefault="00BE788E">
      <w:pPr>
        <w:pStyle w:val="3"/>
        <w:spacing w:line="280" w:lineRule="exact"/>
        <w:jc w:val="left"/>
        <w:rPr>
          <w:rFonts w:ascii="宋体" w:hAnsi="宋体" w:cs="宋体"/>
          <w:b/>
          <w:bCs/>
        </w:rPr>
      </w:pPr>
      <w:bookmarkStart w:id="219" w:name="_Toc989252"/>
      <w:r>
        <w:rPr>
          <w:rFonts w:ascii="宋体" w:hAnsi="宋体" w:cs="宋体"/>
          <w:b/>
          <w:bCs/>
        </w:rPr>
        <w:t>60、未分配利润</w:t>
      </w:r>
      <w:bookmarkEnd w:id="21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644"/>
        <w:gridCol w:w="2497"/>
        <w:gridCol w:w="2498"/>
      </w:tblGrid>
      <w:tr w:rsidR="00037019" w:rsidTr="008561C1">
        <w:trPr>
          <w:trHeight w:val="240"/>
        </w:trPr>
        <w:tc>
          <w:tcPr>
            <w:tcW w:w="46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9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w:t>
            </w:r>
          </w:p>
        </w:tc>
        <w:tc>
          <w:tcPr>
            <w:tcW w:w="249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w:t>
            </w:r>
          </w:p>
        </w:tc>
      </w:tr>
      <w:tr w:rsidR="00037019" w:rsidTr="008561C1">
        <w:trPr>
          <w:trHeight w:val="240"/>
        </w:trPr>
        <w:tc>
          <w:tcPr>
            <w:tcW w:w="46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调整前上期末未分配利润</w:t>
            </w:r>
          </w:p>
        </w:tc>
        <w:tc>
          <w:tcPr>
            <w:tcW w:w="249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1,674,292,092.74</w:t>
            </w:r>
          </w:p>
        </w:tc>
        <w:tc>
          <w:tcPr>
            <w:tcW w:w="249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1,643,586,800.21</w:t>
            </w:r>
          </w:p>
        </w:tc>
      </w:tr>
      <w:tr w:rsidR="00037019" w:rsidTr="008561C1">
        <w:trPr>
          <w:trHeight w:val="240"/>
        </w:trPr>
        <w:tc>
          <w:tcPr>
            <w:tcW w:w="46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调整期初未分配利润合计数（调增+，调减-）</w:t>
            </w:r>
          </w:p>
        </w:tc>
        <w:tc>
          <w:tcPr>
            <w:tcW w:w="249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9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653,061.97</w:t>
            </w:r>
          </w:p>
        </w:tc>
      </w:tr>
      <w:tr w:rsidR="00037019" w:rsidTr="008561C1">
        <w:trPr>
          <w:trHeight w:val="240"/>
        </w:trPr>
        <w:tc>
          <w:tcPr>
            <w:tcW w:w="46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调整后期初未分配利润</w:t>
            </w:r>
          </w:p>
        </w:tc>
        <w:tc>
          <w:tcPr>
            <w:tcW w:w="249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1,674,292,092.74</w:t>
            </w:r>
          </w:p>
        </w:tc>
        <w:tc>
          <w:tcPr>
            <w:tcW w:w="249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1,644,239,862.18</w:t>
            </w:r>
          </w:p>
        </w:tc>
      </w:tr>
      <w:tr w:rsidR="00037019" w:rsidTr="008561C1">
        <w:trPr>
          <w:trHeight w:val="240"/>
        </w:trPr>
        <w:tc>
          <w:tcPr>
            <w:tcW w:w="46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加：本期归属于母公司所有者的净利润</w:t>
            </w:r>
          </w:p>
        </w:tc>
        <w:tc>
          <w:tcPr>
            <w:tcW w:w="249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44,804,621.17</w:t>
            </w:r>
          </w:p>
        </w:tc>
        <w:tc>
          <w:tcPr>
            <w:tcW w:w="249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66,782,080.49</w:t>
            </w:r>
          </w:p>
        </w:tc>
      </w:tr>
      <w:tr w:rsidR="00037019" w:rsidTr="008561C1">
        <w:trPr>
          <w:trHeight w:val="240"/>
        </w:trPr>
        <w:tc>
          <w:tcPr>
            <w:tcW w:w="46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减：提取法定盈余公积</w:t>
            </w:r>
          </w:p>
        </w:tc>
        <w:tc>
          <w:tcPr>
            <w:tcW w:w="249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9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36,729,849.93</w:t>
            </w:r>
          </w:p>
        </w:tc>
      </w:tr>
      <w:tr w:rsidR="00037019" w:rsidTr="008561C1">
        <w:trPr>
          <w:trHeight w:val="240"/>
        </w:trPr>
        <w:tc>
          <w:tcPr>
            <w:tcW w:w="46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期末未分配利润</w:t>
            </w:r>
          </w:p>
        </w:tc>
        <w:tc>
          <w:tcPr>
            <w:tcW w:w="249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1,719,096,713.91</w:t>
            </w:r>
          </w:p>
        </w:tc>
        <w:tc>
          <w:tcPr>
            <w:tcW w:w="249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1,674,292,092.74</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调整期初未分配利润明细：</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1)、由于《企业会计准则》及其相关新规定进行追溯调整，影响期初未分配利润0.00元。</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2)、由于会计政策变更，影响期初未分配利润0.00元。</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3)、由于重大会计差错更正，影响期初未分配利润0.00元。</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4)、由于同</w:t>
      </w:r>
      <w:proofErr w:type="gramStart"/>
      <w:r>
        <w:rPr>
          <w:rFonts w:ascii="宋体" w:eastAsia="宋体" w:hAnsi="宋体" w:cs="宋体"/>
          <w:sz w:val="18"/>
          <w:szCs w:val="18"/>
        </w:rPr>
        <w:t>一控制</w:t>
      </w:r>
      <w:proofErr w:type="gramEnd"/>
      <w:r>
        <w:rPr>
          <w:rFonts w:ascii="宋体" w:eastAsia="宋体" w:hAnsi="宋体" w:cs="宋体"/>
          <w:sz w:val="18"/>
          <w:szCs w:val="18"/>
        </w:rPr>
        <w:t>导致的合并范围变更，影响期初未分配利润0.00元。</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5)、其他调整合计影响期初未分配利润0.00元。</w:t>
      </w:r>
    </w:p>
    <w:p w:rsidR="00037019" w:rsidRDefault="00BE788E">
      <w:pPr>
        <w:pStyle w:val="3"/>
        <w:spacing w:line="280" w:lineRule="exact"/>
        <w:jc w:val="left"/>
        <w:rPr>
          <w:rFonts w:ascii="宋体" w:hAnsi="宋体" w:cs="宋体"/>
          <w:b/>
          <w:bCs/>
        </w:rPr>
      </w:pPr>
      <w:bookmarkStart w:id="220" w:name="_Toc989253"/>
      <w:r>
        <w:rPr>
          <w:rFonts w:ascii="宋体" w:hAnsi="宋体" w:cs="宋体"/>
          <w:b/>
          <w:bCs/>
        </w:rPr>
        <w:t>61、营业收入和营业成本</w:t>
      </w:r>
      <w:bookmarkEnd w:id="22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6,468,606,545.71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6,103,676,815.26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7,700,845,560.41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7,303,717,392.34</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54,266,101.29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14,221,788.06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52,081,152.40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32,281,070.81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6,522,872,647.00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6,117,898,603.32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7,335,998,463.15</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营业收入、营业成本的分解信息：</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37019" w:rsidTr="008561C1">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合同分类</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分部1</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分部2</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业务类型</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纱线</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3,049,683,448.73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2,804,191,089.99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3,049,683,448.73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2,804,191,089.99</w:t>
            </w:r>
          </w:p>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原、色</w:t>
            </w:r>
            <w:proofErr w:type="gramStart"/>
            <w:r>
              <w:rPr>
                <w:rFonts w:ascii="宋体" w:eastAsia="宋体" w:hAnsi="宋体" w:cs="宋体"/>
                <w:sz w:val="18"/>
                <w:szCs w:val="18"/>
              </w:rPr>
              <w:t>纤</w:t>
            </w:r>
            <w:proofErr w:type="gramEnd"/>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3,306,653,848.00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3,214,154,352.60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3,306,653,848.00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3,214,154,352.60</w:t>
            </w:r>
          </w:p>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祙制品</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112,269,248.98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85,331,372.67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112,269,248.98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85,331,372.67</w:t>
            </w:r>
          </w:p>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54,266,101.29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14,221,788.06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54,266,101.29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14,221,788.06</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按经营地区分类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境外销售</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801,404,649.32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710,389,894.60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801,404,649.32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710,389,894.60</w:t>
            </w:r>
          </w:p>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境内销售</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5,721,467,997.68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5,407,508,708.72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5,721,467,997.68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5,407,508,708.72</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市场或客户类型</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合同类型</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按商品转让的时间分类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在某一时点转让</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6,505,307,971.50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6,114,703,921.41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6,505,307,971.50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6,114,703,921.41</w:t>
            </w:r>
          </w:p>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在某一时段内转让</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17,564,675.50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3,194,681.91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17,564,675.50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3,194,681.91</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按合同期限分类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按销售渠道分类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6,522,872,647.00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6,117,898,603.32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6,522,872,647.00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6,117,898,603.32</w:t>
            </w:r>
          </w:p>
        </w:tc>
      </w:tr>
    </w:tbl>
    <w:p w:rsidR="00BE788E" w:rsidRPr="008561C1" w:rsidRDefault="00BE788E" w:rsidP="008561C1">
      <w:pPr>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rsidP="008561C1">
      <w:pPr>
        <w:rPr>
          <w:rFonts w:ascii="宋体" w:eastAsia="宋体" w:hAnsi="宋体" w:cs="宋体"/>
          <w:sz w:val="18"/>
          <w:szCs w:val="18"/>
        </w:rPr>
      </w:pPr>
      <w:r>
        <w:rPr>
          <w:rFonts w:ascii="宋体" w:eastAsia="宋体" w:hAnsi="宋体" w:cs="宋体"/>
          <w:sz w:val="18"/>
          <w:szCs w:val="18"/>
        </w:rPr>
        <w:t>与分摊至剩余履约义务的交易价格相关的信息：</w:t>
      </w:r>
    </w:p>
    <w:p w:rsidR="00037019" w:rsidRDefault="00BE788E" w:rsidP="008561C1">
      <w:pPr>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期末已</w:t>
      </w:r>
      <w:proofErr w:type="gramEnd"/>
      <w:r>
        <w:rPr>
          <w:rFonts w:ascii="宋体" w:eastAsia="宋体" w:hAnsi="宋体" w:cs="宋体"/>
          <w:sz w:val="18"/>
          <w:szCs w:val="18"/>
        </w:rPr>
        <w:t>签订合同、但尚未履行或尚未履行完毕的履约义务所对应的收入金额为0.00元，其中，元预计将于年度确认收入，元预计将于年度确认收入，元预计将于年度确认收入。</w:t>
      </w:r>
    </w:p>
    <w:p w:rsidR="00BE788E" w:rsidRPr="008561C1" w:rsidRDefault="00BE788E" w:rsidP="008561C1">
      <w:pPr>
        <w:rPr>
          <w:rFonts w:ascii="宋体" w:eastAsia="宋体" w:hAnsi="宋体" w:cs="宋体"/>
          <w:sz w:val="18"/>
          <w:szCs w:val="18"/>
        </w:rPr>
      </w:pPr>
      <w:r>
        <w:rPr>
          <w:rFonts w:ascii="宋体" w:eastAsia="宋体" w:hAnsi="宋体" w:cs="宋体"/>
          <w:sz w:val="18"/>
          <w:szCs w:val="18"/>
        </w:rPr>
        <w:t>合同中可变对</w:t>
      </w:r>
      <w:proofErr w:type="gramStart"/>
      <w:r>
        <w:rPr>
          <w:rFonts w:ascii="宋体" w:eastAsia="宋体" w:hAnsi="宋体" w:cs="宋体"/>
          <w:sz w:val="18"/>
          <w:szCs w:val="18"/>
        </w:rPr>
        <w:t>价相关</w:t>
      </w:r>
      <w:proofErr w:type="gramEnd"/>
      <w:r>
        <w:rPr>
          <w:rFonts w:ascii="宋体" w:eastAsia="宋体" w:hAnsi="宋体" w:cs="宋体"/>
          <w:sz w:val="18"/>
          <w:szCs w:val="18"/>
        </w:rPr>
        <w:t>信息：</w:t>
      </w:r>
      <w:r w:rsidR="008561C1">
        <w:rPr>
          <w:rFonts w:hint="eastAsia"/>
          <w:sz w:val="18"/>
          <w:szCs w:val="18"/>
        </w:rPr>
        <w:t>无</w:t>
      </w:r>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21" w:name="_Toc989254"/>
      <w:r>
        <w:rPr>
          <w:rFonts w:ascii="宋体" w:hAnsi="宋体" w:cs="宋体"/>
          <w:b/>
          <w:bCs/>
        </w:rPr>
        <w:t>62、税金及附加</w:t>
      </w:r>
      <w:bookmarkEnd w:id="22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2,662,453.87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4,968,537.37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1,975,215.83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3,615,683.90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12,600,317.76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12,510,338.41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土地使用税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11,840,975.50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11,202,822.22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车船使用税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31,080.96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16,777.99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印花税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10,363,401.09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9,034,332.21</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760,600.21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1,595,053.76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40,234,045.22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42,943,545.86</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22" w:name="_Toc989255"/>
      <w:r>
        <w:rPr>
          <w:rFonts w:ascii="宋体" w:hAnsi="宋体" w:cs="宋体"/>
          <w:b/>
          <w:bCs/>
        </w:rPr>
        <w:t>63、管理费用</w:t>
      </w:r>
      <w:bookmarkEnd w:id="222"/>
    </w:p>
    <w:p w:rsidR="008561C1" w:rsidRDefault="008561C1" w:rsidP="008561C1"/>
    <w:p w:rsidR="008561C1" w:rsidRPr="008561C1" w:rsidRDefault="008561C1" w:rsidP="008561C1"/>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03509A">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03509A">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工资及相关费用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76,475,696.92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101,660,198.03</w:t>
            </w:r>
          </w:p>
        </w:tc>
      </w:tr>
      <w:tr w:rsidR="00037019" w:rsidTr="0003509A">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办公费用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9,629,941.35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9,234,690.91</w:t>
            </w:r>
          </w:p>
        </w:tc>
      </w:tr>
      <w:tr w:rsidR="00037019" w:rsidTr="0003509A">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低值易耗品</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1,630,626.26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1,829,868.61</w:t>
            </w:r>
          </w:p>
        </w:tc>
      </w:tr>
      <w:tr w:rsidR="00037019" w:rsidTr="0003509A">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1,070,226.17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772,274.93</w:t>
            </w:r>
          </w:p>
        </w:tc>
      </w:tr>
      <w:tr w:rsidR="00037019" w:rsidTr="0003509A">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折旧费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37,522,461.15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45,781,921.46</w:t>
            </w:r>
          </w:p>
        </w:tc>
      </w:tr>
      <w:tr w:rsidR="00037019" w:rsidTr="0003509A">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4,999,694.68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2,984,167.49</w:t>
            </w:r>
          </w:p>
        </w:tc>
      </w:tr>
      <w:tr w:rsidR="00037019" w:rsidTr="0003509A">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差旅费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1,697,500.48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1,735,418.59</w:t>
            </w:r>
          </w:p>
        </w:tc>
      </w:tr>
      <w:tr w:rsidR="00037019" w:rsidTr="0003509A">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业务招待费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1,990,559.05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1,881,352.27</w:t>
            </w:r>
          </w:p>
        </w:tc>
      </w:tr>
      <w:tr w:rsidR="00037019" w:rsidTr="0003509A">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租赁费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1,402,161.25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1,368,930.79</w:t>
            </w:r>
          </w:p>
        </w:tc>
      </w:tr>
      <w:tr w:rsidR="00037019" w:rsidTr="0003509A">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保险费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884,520.34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661,902.87</w:t>
            </w:r>
          </w:p>
        </w:tc>
      </w:tr>
      <w:tr w:rsidR="00037019" w:rsidTr="0003509A">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环保费用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463,561.98</w:t>
            </w:r>
          </w:p>
        </w:tc>
      </w:tr>
      <w:tr w:rsidR="00037019" w:rsidTr="0003509A">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7,378,420.39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1,401,367.42</w:t>
            </w:r>
          </w:p>
        </w:tc>
      </w:tr>
      <w:tr w:rsidR="00037019" w:rsidTr="0003509A">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长期待摊费用摊销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1,215,870.99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1,006,619.88</w:t>
            </w:r>
          </w:p>
        </w:tc>
      </w:tr>
      <w:tr w:rsidR="00037019" w:rsidTr="0003509A">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中介机构费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10,962,509.99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10,730,319.18</w:t>
            </w:r>
          </w:p>
        </w:tc>
      </w:tr>
      <w:tr w:rsidR="00037019" w:rsidTr="008561C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156,860,189.02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181,512,594.41</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23" w:name="_Toc989256"/>
      <w:r>
        <w:rPr>
          <w:rFonts w:ascii="宋体" w:hAnsi="宋体" w:cs="宋体"/>
          <w:b/>
          <w:bCs/>
        </w:rPr>
        <w:t>64、销售费用</w:t>
      </w:r>
      <w:bookmarkEnd w:id="22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工资及相关费用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16,894,253.13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19,141,669.72</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办公费用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418,011.23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1,220,485.14</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租赁费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14,796,750.63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19,559,041.74</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开发费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565,887.68</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低值易耗品</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831,240.34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2,502,526.01</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129,217.77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2,399,371.49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折旧费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4,209,168.09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4,205,791.01</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差旅费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369,477.54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486,333.25</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业务招待费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129,151.07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213,375.39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电商平台服务费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11,999,550.80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17,622,341.70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3,013,171.26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1,780,377.39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52,789,991.86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69,697,200.52</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24" w:name="_Toc989257"/>
      <w:r>
        <w:rPr>
          <w:rFonts w:ascii="宋体" w:hAnsi="宋体" w:cs="宋体"/>
          <w:b/>
          <w:bCs/>
        </w:rPr>
        <w:t>65、研发费用</w:t>
      </w:r>
      <w:bookmarkEnd w:id="22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工资及奖金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11,753,038.85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7,293,379.29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燃料及动力</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6,043,567.77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5,857,222.06</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原材料</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30,702,257.09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36,887,003.03</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折旧及摊销</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4,123,094.01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3,309,230.17</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4,237,847.61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2,200,284.63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56,859,805.33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55,547,119.18</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25" w:name="_Toc989258"/>
      <w:r>
        <w:rPr>
          <w:rFonts w:ascii="宋体" w:hAnsi="宋体" w:cs="宋体"/>
          <w:b/>
          <w:bCs/>
        </w:rPr>
        <w:t>66、财务费用</w:t>
      </w:r>
      <w:bookmarkEnd w:id="225"/>
    </w:p>
    <w:p w:rsidR="008561C1" w:rsidRPr="008561C1" w:rsidRDefault="008561C1" w:rsidP="008561C1"/>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82,109,097.85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113,313,442.25</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减：利息收入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-8,464,181.30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-13,105,439.74</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汇兑损益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13,189,883.46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-61,327,794.71</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贴现</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6,396,853.03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2,638,086.04</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8,682,629.87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7,077,359.07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101,914,282.91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48,595,652.92</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26" w:name="_Toc989259"/>
      <w:r>
        <w:rPr>
          <w:rFonts w:ascii="宋体" w:hAnsi="宋体" w:cs="宋体"/>
          <w:b/>
          <w:bCs/>
        </w:rPr>
        <w:t>67、其他收益</w:t>
      </w:r>
      <w:bookmarkEnd w:id="22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产生其他收益的来源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41,764,407.62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73,566,623.46</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41,764,407.62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73,566,623.46</w:t>
            </w:r>
          </w:p>
        </w:tc>
      </w:tr>
    </w:tbl>
    <w:p w:rsidR="00037019" w:rsidRDefault="00BE788E">
      <w:pPr>
        <w:pStyle w:val="3"/>
        <w:spacing w:line="280" w:lineRule="exact"/>
        <w:jc w:val="left"/>
        <w:rPr>
          <w:rFonts w:ascii="宋体" w:hAnsi="宋体" w:cs="宋体"/>
          <w:b/>
          <w:bCs/>
        </w:rPr>
      </w:pPr>
      <w:bookmarkStart w:id="227" w:name="_Toc989260"/>
      <w:r>
        <w:rPr>
          <w:rFonts w:ascii="宋体" w:hAnsi="宋体" w:cs="宋体"/>
          <w:b/>
          <w:bCs/>
        </w:rPr>
        <w:t>68、净敞口套期收益</w:t>
      </w:r>
      <w:bookmarkEnd w:id="227"/>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28" w:name="_Toc989261"/>
      <w:r>
        <w:rPr>
          <w:rFonts w:ascii="宋体" w:hAnsi="宋体" w:cs="宋体"/>
          <w:b/>
          <w:bCs/>
        </w:rPr>
        <w:t>69、公允价值变动收益</w:t>
      </w:r>
      <w:bookmarkEnd w:id="22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产生公允价值变动收益的来源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3,293,560.92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11,622,111.18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其中：衍生金融工具产生的公允价值变动收益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3,293,560.92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11,622,111.18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3,293,560.92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11,622,111.18</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29" w:name="_Toc989262"/>
      <w:r>
        <w:rPr>
          <w:rFonts w:ascii="宋体" w:hAnsi="宋体" w:cs="宋体"/>
          <w:b/>
          <w:bCs/>
        </w:rPr>
        <w:t>70、投资收益</w:t>
      </w:r>
      <w:bookmarkEnd w:id="22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权益法核算的长期股权投资收益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-3,328,800.78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-12,852,401.20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处置长期股权投资产生的投资收益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122,455.54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8,185,186.13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处置交易性金融资产取得的投资收益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22,401,732.55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-61,004,750.68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其他权益工具投资在持有期间取得的股利收入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892,500.00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委托理财收益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3,369,930.81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3,193,523.93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23,457,818.12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-62,478,441.82</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30" w:name="_Toc989263"/>
      <w:r>
        <w:rPr>
          <w:rFonts w:ascii="宋体" w:hAnsi="宋体" w:cs="宋体"/>
          <w:b/>
          <w:bCs/>
        </w:rPr>
        <w:t>71、信用减值损失</w:t>
      </w:r>
      <w:bookmarkEnd w:id="23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应收票据坏账损失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-579,104.91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应收账款坏账损失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4,195,863.88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其他应收款坏账损失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-558,913.22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62,881.23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3,057,845.75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62,881.23</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31" w:name="_Toc989264"/>
      <w:r>
        <w:rPr>
          <w:rFonts w:ascii="宋体" w:hAnsi="宋体" w:cs="宋体"/>
          <w:b/>
          <w:bCs/>
        </w:rPr>
        <w:t>72、资产减值损失</w:t>
      </w:r>
      <w:bookmarkEnd w:id="23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一、存货跌价损失及合同履约成本减值损失</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-2,318,531.43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23,531,629.26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-2,318,531.43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23,531,629.26</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32" w:name="_Toc989265"/>
      <w:r>
        <w:rPr>
          <w:rFonts w:ascii="宋体" w:hAnsi="宋体" w:cs="宋体"/>
          <w:b/>
          <w:bCs/>
        </w:rPr>
        <w:t>73、资产处置收益</w:t>
      </w:r>
      <w:bookmarkEnd w:id="232"/>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资产处置收益的来源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固定资产处置利得或损失</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2,283,404.49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163,412.51</w:t>
            </w:r>
          </w:p>
        </w:tc>
      </w:tr>
    </w:tbl>
    <w:p w:rsidR="00037019" w:rsidRDefault="00BE788E">
      <w:pPr>
        <w:pStyle w:val="3"/>
        <w:spacing w:line="280" w:lineRule="exact"/>
        <w:jc w:val="left"/>
        <w:rPr>
          <w:rFonts w:ascii="宋体" w:hAnsi="宋体" w:cs="宋体"/>
          <w:b/>
          <w:bCs/>
        </w:rPr>
      </w:pPr>
      <w:bookmarkStart w:id="233" w:name="_Toc989266"/>
      <w:r>
        <w:rPr>
          <w:rFonts w:ascii="宋体" w:hAnsi="宋体" w:cs="宋体"/>
          <w:b/>
          <w:bCs/>
        </w:rPr>
        <w:t>74、营业外收入</w:t>
      </w:r>
      <w:bookmarkEnd w:id="23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计入当期非经常性损益的金额</w:t>
            </w:r>
          </w:p>
        </w:tc>
      </w:tr>
      <w:tr w:rsidR="00037019" w:rsidTr="008561C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确实无法支付的债务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624,480.51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1,349,120.17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624,480.51</w:t>
            </w:r>
          </w:p>
        </w:tc>
      </w:tr>
      <w:tr w:rsidR="00037019" w:rsidTr="008561C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赔偿金</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598,292.61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1,518,000.00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598,292.61</w:t>
            </w:r>
          </w:p>
        </w:tc>
      </w:tr>
      <w:tr w:rsidR="00037019" w:rsidTr="008561C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626,854.40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671,579.37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626,854.40</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1,849,627.52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3,538,699.54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1,849,627.52</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234" w:name="_Toc989267"/>
      <w:r>
        <w:rPr>
          <w:rFonts w:ascii="宋体" w:hAnsi="宋体" w:cs="宋体"/>
          <w:b/>
          <w:bCs/>
        </w:rPr>
        <w:lastRenderedPageBreak/>
        <w:t>75、营业外支出</w:t>
      </w:r>
      <w:bookmarkEnd w:id="23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计入当期非经常性损益的金额</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对外捐赠</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750,035.30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790,295.50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750,035.30</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固定资产报废损失</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6,680.59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19,759.79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6,680.59</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罚款及滞纳金支出</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811,405.61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131,564.46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326F0C">
            <w:pPr>
              <w:spacing w:line="240" w:lineRule="exact"/>
              <w:jc w:val="right"/>
              <w:rPr>
                <w:rFonts w:ascii="宋体" w:eastAsia="宋体" w:hAnsi="宋体" w:cs="宋体"/>
                <w:sz w:val="18"/>
                <w:szCs w:val="18"/>
              </w:rPr>
            </w:pPr>
            <w:r>
              <w:rPr>
                <w:rFonts w:ascii="宋体" w:eastAsia="宋体" w:hAnsi="宋体" w:cs="宋体"/>
                <w:sz w:val="18"/>
                <w:szCs w:val="18"/>
              </w:rPr>
              <w:t>811,405.61</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赔偿支出</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460,046.70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587,745.72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460,046.70</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914,399.97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734,116.15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326F0C">
            <w:pPr>
              <w:spacing w:line="240" w:lineRule="exact"/>
              <w:jc w:val="right"/>
              <w:rPr>
                <w:rFonts w:ascii="宋体" w:eastAsia="宋体" w:hAnsi="宋体" w:cs="宋体"/>
                <w:sz w:val="18"/>
                <w:szCs w:val="18"/>
              </w:rPr>
            </w:pPr>
            <w:r>
              <w:rPr>
                <w:rFonts w:ascii="宋体" w:eastAsia="宋体" w:hAnsi="宋体" w:cs="宋体"/>
                <w:sz w:val="18"/>
                <w:szCs w:val="18"/>
              </w:rPr>
              <w:t>914,399.97</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2,942,568.17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2,263,481.62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2,942,568.17</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82FC5">
        <w:rPr>
          <w:rFonts w:hint="eastAsia"/>
          <w:sz w:val="18"/>
          <w:szCs w:val="18"/>
        </w:rPr>
        <w:t>无</w:t>
      </w:r>
    </w:p>
    <w:p w:rsidR="00037019" w:rsidRDefault="00BE788E">
      <w:pPr>
        <w:pStyle w:val="3"/>
        <w:spacing w:line="280" w:lineRule="exact"/>
        <w:jc w:val="left"/>
        <w:rPr>
          <w:rFonts w:ascii="宋体" w:hAnsi="宋体" w:cs="宋体"/>
          <w:b/>
          <w:bCs/>
        </w:rPr>
      </w:pPr>
      <w:bookmarkStart w:id="235" w:name="_Toc989268"/>
      <w:r>
        <w:rPr>
          <w:rFonts w:ascii="宋体" w:hAnsi="宋体" w:cs="宋体"/>
          <w:b/>
          <w:bCs/>
        </w:rPr>
        <w:t>76、所得税费用</w:t>
      </w:r>
      <w:bookmarkEnd w:id="235"/>
    </w:p>
    <w:p w:rsidR="00037019" w:rsidRDefault="00BE788E">
      <w:pPr>
        <w:keepNext/>
        <w:keepLines/>
        <w:spacing w:before="300" w:after="300" w:line="280" w:lineRule="exact"/>
        <w:outlineLvl w:val="3"/>
        <w:rPr>
          <w:rFonts w:ascii="宋体" w:eastAsia="宋体" w:hAnsi="宋体" w:cs="宋体"/>
          <w:b/>
          <w:bCs/>
          <w:szCs w:val="21"/>
        </w:rPr>
      </w:pPr>
      <w:bookmarkStart w:id="236" w:name="_Toc989269"/>
      <w:r>
        <w:rPr>
          <w:rFonts w:ascii="宋体" w:eastAsia="宋体" w:hAnsi="宋体" w:cs="宋体"/>
          <w:b/>
          <w:bCs/>
          <w:szCs w:val="21"/>
        </w:rPr>
        <w:t>（1） 所得税费用表</w:t>
      </w:r>
      <w:bookmarkEnd w:id="23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当期所得税费用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8,986,571.73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2,662,744.50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递延所得税费用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2,540,602.37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-8,577,368.14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11,527,174.10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-5,914,623.64</w:t>
            </w:r>
          </w:p>
        </w:tc>
      </w:tr>
    </w:tbl>
    <w:p w:rsidR="00037019" w:rsidRDefault="00BE788E">
      <w:pPr>
        <w:keepNext/>
        <w:keepLines/>
        <w:spacing w:before="300" w:after="300" w:line="280" w:lineRule="exact"/>
        <w:outlineLvl w:val="3"/>
        <w:rPr>
          <w:rFonts w:ascii="宋体" w:eastAsia="宋体" w:hAnsi="宋体" w:cs="宋体"/>
          <w:b/>
          <w:bCs/>
          <w:szCs w:val="21"/>
        </w:rPr>
      </w:pPr>
      <w:bookmarkStart w:id="237" w:name="_Toc989270"/>
      <w:r>
        <w:rPr>
          <w:rFonts w:ascii="宋体" w:eastAsia="宋体" w:hAnsi="宋体" w:cs="宋体"/>
          <w:b/>
          <w:bCs/>
          <w:szCs w:val="21"/>
        </w:rPr>
        <w:t>（2） 会计利润与所得税费用调整过程</w:t>
      </w:r>
      <w:bookmarkEnd w:id="23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利润总额</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66,761,294.16</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按法定/适用税率计算的所得税费用</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10,014,194.12</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子公司适用不同税率的影响</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-3,061,442.67</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调整以前期间所得税的影响</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3,158,638.51</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不可抵扣的成本、费用和损失的影响</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552,632.94</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使用前期未确认递延所得税资产的可抵扣亏损的影响</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157,291.50</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proofErr w:type="gramStart"/>
            <w:r>
              <w:rPr>
                <w:rFonts w:ascii="宋体" w:eastAsia="宋体" w:hAnsi="宋体" w:cs="宋体"/>
                <w:sz w:val="18"/>
                <w:szCs w:val="18"/>
              </w:rPr>
              <w:t>本期未</w:t>
            </w:r>
            <w:proofErr w:type="gramEnd"/>
            <w:r>
              <w:rPr>
                <w:rFonts w:ascii="宋体" w:eastAsia="宋体" w:hAnsi="宋体" w:cs="宋体"/>
                <w:sz w:val="18"/>
                <w:szCs w:val="18"/>
              </w:rPr>
              <w:t>确认递延所得税资产的可抵扣暂时性差异或可抵扣亏损的影响</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7,862,975.70</w:t>
            </w:r>
          </w:p>
        </w:tc>
      </w:tr>
      <w:tr w:rsidR="00037019" w:rsidTr="00382FC5">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归属于合营企业和联营企业的损益（非应税收入）</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-701,504.88</w:t>
            </w:r>
          </w:p>
        </w:tc>
      </w:tr>
      <w:tr w:rsidR="00037019" w:rsidTr="00382FC5">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研发费用加计扣除</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-6,455,611.12</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所得税费用</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11,527,174.10</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82FC5">
        <w:rPr>
          <w:rFonts w:ascii="宋体" w:eastAsia="宋体" w:hAnsi="宋体" w:cs="宋体" w:hint="eastAsia"/>
          <w:sz w:val="18"/>
          <w:szCs w:val="18"/>
        </w:rPr>
        <w:t>：</w:t>
      </w:r>
      <w:r w:rsidR="00382FC5">
        <w:rPr>
          <w:rFonts w:hint="eastAsia"/>
          <w:sz w:val="18"/>
          <w:szCs w:val="18"/>
        </w:rPr>
        <w:t>无</w:t>
      </w:r>
    </w:p>
    <w:p w:rsidR="00037019" w:rsidRDefault="00BE788E">
      <w:pPr>
        <w:pStyle w:val="3"/>
        <w:spacing w:line="280" w:lineRule="exact"/>
        <w:jc w:val="left"/>
        <w:rPr>
          <w:rFonts w:ascii="宋体" w:hAnsi="宋体" w:cs="宋体"/>
          <w:b/>
          <w:bCs/>
        </w:rPr>
      </w:pPr>
      <w:bookmarkStart w:id="238" w:name="_Toc989271"/>
      <w:r>
        <w:rPr>
          <w:rFonts w:ascii="宋体" w:hAnsi="宋体" w:cs="宋体"/>
          <w:b/>
          <w:bCs/>
        </w:rPr>
        <w:t>77、其他综合收益</w:t>
      </w:r>
      <w:bookmarkEnd w:id="238"/>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详见附注57</w:t>
      </w:r>
    </w:p>
    <w:p w:rsidR="00037019" w:rsidRDefault="00BE788E">
      <w:pPr>
        <w:pStyle w:val="3"/>
        <w:spacing w:line="280" w:lineRule="exact"/>
        <w:jc w:val="left"/>
        <w:rPr>
          <w:rFonts w:ascii="宋体" w:hAnsi="宋体" w:cs="宋体"/>
          <w:b/>
          <w:bCs/>
        </w:rPr>
      </w:pPr>
      <w:bookmarkStart w:id="239" w:name="_Toc989272"/>
      <w:r>
        <w:rPr>
          <w:rFonts w:ascii="宋体" w:hAnsi="宋体" w:cs="宋体"/>
          <w:b/>
          <w:bCs/>
        </w:rPr>
        <w:lastRenderedPageBreak/>
        <w:t>78、现金流量表项目</w:t>
      </w:r>
      <w:bookmarkEnd w:id="239"/>
    </w:p>
    <w:p w:rsidR="00037019" w:rsidRDefault="00BE788E">
      <w:pPr>
        <w:keepNext/>
        <w:keepLines/>
        <w:spacing w:before="300" w:after="300" w:line="280" w:lineRule="exact"/>
        <w:outlineLvl w:val="3"/>
        <w:rPr>
          <w:rFonts w:ascii="宋体" w:eastAsia="宋体" w:hAnsi="宋体" w:cs="宋体"/>
          <w:b/>
          <w:bCs/>
          <w:szCs w:val="21"/>
        </w:rPr>
      </w:pPr>
      <w:bookmarkStart w:id="240" w:name="_Toc989273"/>
      <w:r>
        <w:rPr>
          <w:rFonts w:ascii="宋体" w:eastAsia="宋体" w:hAnsi="宋体" w:cs="宋体"/>
          <w:b/>
          <w:bCs/>
          <w:szCs w:val="21"/>
        </w:rPr>
        <w:t>（1） 与经营活动有关的现金</w:t>
      </w:r>
      <w:bookmarkEnd w:id="240"/>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收到的其他与经营活动有关的现金</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8,464,181.30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11,643,416.01</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140,521,078.74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143,274,729.68</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往来款及其他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412,061,383.84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376,979,934.10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561,046,643.88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531,898,079.79</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收到的其他与经营活动有关的现金说明：</w:t>
      </w:r>
      <w:r w:rsidR="00382FC5">
        <w:rPr>
          <w:rFonts w:hint="eastAsia"/>
          <w:sz w:val="18"/>
          <w:szCs w:val="18"/>
        </w:rPr>
        <w:t>无</w:t>
      </w:r>
    </w:p>
    <w:p w:rsidR="00382FC5" w:rsidRDefault="00382FC5">
      <w:pPr>
        <w:spacing w:before="100" w:after="100" w:line="240" w:lineRule="exact"/>
        <w:rPr>
          <w:rFonts w:ascii="宋体" w:eastAsia="宋体" w:hAnsi="宋体" w:cs="宋体"/>
          <w:sz w:val="18"/>
          <w:szCs w:val="18"/>
        </w:rPr>
      </w:pP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支付的其他与经营活动有关的现金</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费用类支出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39,860,756.32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36,885,888.56</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往来款及其他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623,130,587.74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558,774,742.28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662,991,344.06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595,660,630.84</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支付的其他与经营活动有关的现金说明：</w:t>
      </w:r>
      <w:r w:rsidR="00382FC5">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41" w:name="_Toc989274"/>
      <w:r>
        <w:rPr>
          <w:rFonts w:ascii="宋体" w:eastAsia="宋体" w:hAnsi="宋体" w:cs="宋体"/>
          <w:b/>
          <w:bCs/>
          <w:szCs w:val="21"/>
        </w:rPr>
        <w:t>（2） 与投资活动有关的现金</w:t>
      </w:r>
      <w:bookmarkEnd w:id="24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收到的其他与投资活动有关的现金</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理财产品</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722,075,949.89</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期货及其他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105,908,364.32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827,984,314.21</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收到的其他与投资活动有关的现金说明：</w:t>
      </w:r>
      <w:r w:rsidR="00382FC5">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支付的其他与投资活动有关的现金</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理财产品</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446,509,000.00</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期货及其他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115,591,036.98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562,100,036.98</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支付的其他与投资活动有关的现金说明：</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42" w:name="_Toc989275"/>
      <w:r>
        <w:rPr>
          <w:rFonts w:ascii="宋体" w:eastAsia="宋体" w:hAnsi="宋体" w:cs="宋体"/>
          <w:b/>
          <w:bCs/>
          <w:szCs w:val="21"/>
        </w:rPr>
        <w:t>（3） 与筹资活动有关的现金</w:t>
      </w:r>
      <w:bookmarkEnd w:id="24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收到的其他与筹资活动有关的现金</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受限的其他货币资金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19,918,769.82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166,977,948.39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19,918,769.82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166,977,948.39</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收到的其他与筹资活动有关的现金说明：</w:t>
      </w:r>
      <w:r w:rsidR="00382FC5">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支付的其他与筹资活动有关的现金</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受限的其他货币资金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1,709,477,177.54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1,366,305,526.87</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回购公司股票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153,096,733.44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1,809,510,292.02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1,519,402,260.31</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支付的其他与筹资活动有关的现金说明：</w:t>
      </w:r>
      <w:r w:rsidR="00382FC5">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筹资活动产生的各项负债变动情况</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243" w:name="_Toc989276"/>
      <w:r>
        <w:rPr>
          <w:rFonts w:ascii="宋体" w:eastAsia="宋体" w:hAnsi="宋体" w:cs="宋体"/>
          <w:b/>
          <w:bCs/>
          <w:szCs w:val="21"/>
        </w:rPr>
        <w:t>（4） 以净额列报现金流量的说明</w:t>
      </w:r>
      <w:bookmarkEnd w:id="243"/>
    </w:p>
    <w:p w:rsidR="00037019" w:rsidRDefault="00BE788E">
      <w:pPr>
        <w:keepNext/>
        <w:keepLines/>
        <w:spacing w:before="300" w:after="300" w:line="280" w:lineRule="exact"/>
        <w:outlineLvl w:val="3"/>
        <w:rPr>
          <w:rFonts w:ascii="宋体" w:eastAsia="宋体" w:hAnsi="宋体" w:cs="宋体"/>
          <w:b/>
          <w:bCs/>
          <w:szCs w:val="21"/>
        </w:rPr>
      </w:pPr>
      <w:bookmarkStart w:id="244" w:name="_Toc989277"/>
      <w:r>
        <w:rPr>
          <w:rFonts w:ascii="宋体" w:eastAsia="宋体" w:hAnsi="宋体" w:cs="宋体"/>
          <w:b/>
          <w:bCs/>
          <w:szCs w:val="21"/>
        </w:rPr>
        <w:t>（5） 不涉及当期现金收支、但影响企业财务状况或在未来可能影响企业现金流量的重大活动及财务影响</w:t>
      </w:r>
      <w:bookmarkEnd w:id="244"/>
    </w:p>
    <w:p w:rsidR="00BE788E" w:rsidRDefault="00BE788E">
      <w:pPr>
        <w:pStyle w:val="a3"/>
        <w:divId w:val="1425491924"/>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245" w:name="_Toc989278"/>
      <w:r>
        <w:rPr>
          <w:rFonts w:ascii="宋体" w:hAnsi="宋体" w:cs="宋体"/>
          <w:b/>
          <w:bCs/>
        </w:rPr>
        <w:t>79、现金流量表补充资料</w:t>
      </w:r>
      <w:bookmarkEnd w:id="245"/>
    </w:p>
    <w:p w:rsidR="00037019" w:rsidRDefault="00BE788E">
      <w:pPr>
        <w:keepNext/>
        <w:keepLines/>
        <w:spacing w:before="300" w:after="300" w:line="280" w:lineRule="exact"/>
        <w:outlineLvl w:val="3"/>
        <w:rPr>
          <w:rFonts w:ascii="宋体" w:eastAsia="宋体" w:hAnsi="宋体" w:cs="宋体"/>
          <w:b/>
          <w:bCs/>
          <w:szCs w:val="21"/>
        </w:rPr>
      </w:pPr>
      <w:bookmarkStart w:id="246" w:name="_Toc989279"/>
      <w:r>
        <w:rPr>
          <w:rFonts w:ascii="宋体" w:eastAsia="宋体" w:hAnsi="宋体" w:cs="宋体"/>
          <w:b/>
          <w:bCs/>
          <w:szCs w:val="21"/>
        </w:rPr>
        <w:t>（1） 现金流量表补充资料</w:t>
      </w:r>
      <w:bookmarkEnd w:id="24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补充资料</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上期金额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1．将净利润调节为经营活动现金流量：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净利润</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55,234,120.06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72,290,194.15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加：资产减值准备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-739,314.32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-23,594,510.49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固定资产折旧、油气资产折耗、生产性生物资产折旧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263,602,934.68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254,205,647.15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使用权资产折旧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4,410,341.90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4,119,683.93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无形资产摊销</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11,284,321.06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11,289,669.09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长期待摊费用摊销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8,467,120.20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10,871,938.18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处置固定资产、无形资产和其他长期资产的损失（收益以“－”号填列）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-2,283,404.49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-163,412.51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固定资产报废损失（收益以“－”号填列）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6,680.59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19,759.79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-3,293,560.92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-11,622,111.18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财务费用（收益以“－”号填列）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124,098,342.82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53,316,134.70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-23,457,818.12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62,478,441.82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递延所得税资产减少（增加以“－”号填列）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-2,369,241.21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18,479,798.72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lastRenderedPageBreak/>
              <w:t>递延所得税负债增加（减少以“－”号填列）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4,913,828.03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-3,202,903.56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存货的减少（增加以“－”号填列）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1,299,406,693.02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2,145,391,825.55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经营性应收项目的减少（增加以“－”号填列）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-634,737,167.55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-973,509,665.68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经营性应付项目的增加（减少以“－”号填列）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-11,371,661.12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-50,306,946.21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-45,341,984.33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1,093,172,214.63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1,524,721,559.12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2．不涉及现金收支的重大投资和筹资活动：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债务转为资本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一年内到期的可转换公司债</w:t>
            </w:r>
            <w:proofErr w:type="gramStart"/>
            <w:r>
              <w:rPr>
                <w:rFonts w:ascii="宋体" w:eastAsia="宋体" w:hAnsi="宋体" w:cs="宋体"/>
                <w:sz w:val="18"/>
                <w:szCs w:val="18"/>
              </w:rPr>
              <w:t>券</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融资租入固定资产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3．现金及现金等价物净变动情况：</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现金的期末余额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1,614,869,590.12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2,234,988,516.88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减：现金的期初余额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2,183,880,557.50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加：现金等价物的期末余额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减：现金等价物的期初余额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-569,010,967.38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393,169,963.30</w:t>
            </w:r>
          </w:p>
        </w:tc>
      </w:tr>
    </w:tbl>
    <w:p w:rsidR="00037019" w:rsidRDefault="00BE788E">
      <w:pPr>
        <w:keepNext/>
        <w:keepLines/>
        <w:spacing w:before="300" w:after="300" w:line="280" w:lineRule="exact"/>
        <w:outlineLvl w:val="3"/>
        <w:rPr>
          <w:rFonts w:ascii="宋体" w:eastAsia="宋体" w:hAnsi="宋体" w:cs="宋体"/>
          <w:b/>
          <w:bCs/>
          <w:szCs w:val="21"/>
        </w:rPr>
      </w:pPr>
      <w:bookmarkStart w:id="247" w:name="_Toc989280"/>
      <w:r>
        <w:rPr>
          <w:rFonts w:ascii="宋体" w:eastAsia="宋体" w:hAnsi="宋体" w:cs="宋体"/>
          <w:b/>
          <w:bCs/>
          <w:szCs w:val="21"/>
        </w:rPr>
        <w:t>（2） 本期支付的取得子公司的现金净额</w:t>
      </w:r>
      <w:bookmarkEnd w:id="247"/>
    </w:p>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82FC5">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48" w:name="_Toc989281"/>
      <w:r>
        <w:rPr>
          <w:rFonts w:ascii="宋体" w:eastAsia="宋体" w:hAnsi="宋体" w:cs="宋体"/>
          <w:b/>
          <w:bCs/>
          <w:szCs w:val="21"/>
        </w:rPr>
        <w:t>（3） 本期收到的处置子公司的现金净额</w:t>
      </w:r>
      <w:bookmarkEnd w:id="24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37019" w:rsidTr="00382FC5">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481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r>
      <w:tr w:rsidR="00037019" w:rsidTr="00382FC5">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本期处置子公司于本期收到的现金或现金等价物</w:t>
            </w:r>
          </w:p>
        </w:tc>
        <w:tc>
          <w:tcPr>
            <w:tcW w:w="481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2,601,000.00</w:t>
            </w:r>
          </w:p>
        </w:tc>
      </w:tr>
      <w:tr w:rsidR="00037019" w:rsidTr="00382FC5">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处置子公司收到的现金净额</w:t>
            </w:r>
          </w:p>
        </w:tc>
        <w:tc>
          <w:tcPr>
            <w:tcW w:w="481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2,601,000.00</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82FC5">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49" w:name="_Toc989282"/>
      <w:r>
        <w:rPr>
          <w:rFonts w:ascii="宋体" w:eastAsia="宋体" w:hAnsi="宋体" w:cs="宋体"/>
          <w:b/>
          <w:bCs/>
          <w:szCs w:val="21"/>
        </w:rPr>
        <w:t>（4） 现金和现金等价物的构成</w:t>
      </w:r>
      <w:bookmarkEnd w:id="24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1,614,869,590.12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2,183,880,557.50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其中：库存现金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1,512,065.48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70,994.31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可随时用于支付的银行存款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1,394,708,080.32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1,837,036,749.85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可随时用于支付的其他货币资金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218,649,444.32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346,772,813.34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1,614,869,590.12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2,183,880,557.50</w:t>
            </w:r>
          </w:p>
        </w:tc>
      </w:tr>
    </w:tbl>
    <w:p w:rsidR="00037019" w:rsidRDefault="00BE788E">
      <w:pPr>
        <w:keepNext/>
        <w:keepLines/>
        <w:spacing w:before="300" w:after="300" w:line="280" w:lineRule="exact"/>
        <w:outlineLvl w:val="3"/>
        <w:rPr>
          <w:rFonts w:ascii="宋体" w:eastAsia="宋体" w:hAnsi="宋体" w:cs="宋体"/>
          <w:b/>
          <w:bCs/>
          <w:szCs w:val="21"/>
        </w:rPr>
      </w:pPr>
      <w:bookmarkStart w:id="250" w:name="_Toc989283"/>
      <w:r>
        <w:rPr>
          <w:rFonts w:ascii="宋体" w:eastAsia="宋体" w:hAnsi="宋体" w:cs="宋体"/>
          <w:b/>
          <w:bCs/>
          <w:szCs w:val="21"/>
        </w:rPr>
        <w:lastRenderedPageBreak/>
        <w:t>（5） 使用范围受限但仍属于现金及现金等价物列示的情况</w:t>
      </w:r>
      <w:bookmarkEnd w:id="250"/>
    </w:p>
    <w:p w:rsidR="00037019" w:rsidRDefault="00BE788E">
      <w:pPr>
        <w:keepNext/>
        <w:keepLines/>
        <w:spacing w:before="300" w:after="300" w:line="280" w:lineRule="exact"/>
        <w:outlineLvl w:val="3"/>
        <w:rPr>
          <w:rFonts w:ascii="宋体" w:eastAsia="宋体" w:hAnsi="宋体" w:cs="宋体"/>
          <w:b/>
          <w:bCs/>
          <w:szCs w:val="21"/>
        </w:rPr>
      </w:pPr>
      <w:bookmarkStart w:id="251" w:name="_Toc989284"/>
      <w:r>
        <w:rPr>
          <w:rFonts w:ascii="宋体" w:eastAsia="宋体" w:hAnsi="宋体" w:cs="宋体"/>
          <w:b/>
          <w:bCs/>
          <w:szCs w:val="21"/>
        </w:rPr>
        <w:t>（6） 不属于现金及现金等价物的货币资金</w:t>
      </w:r>
      <w:bookmarkEnd w:id="251"/>
    </w:p>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82FC5">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52" w:name="_Toc989285"/>
      <w:r>
        <w:rPr>
          <w:rFonts w:ascii="宋体" w:eastAsia="宋体" w:hAnsi="宋体" w:cs="宋体"/>
          <w:b/>
          <w:bCs/>
          <w:szCs w:val="21"/>
        </w:rPr>
        <w:t>（7） 其他重大活动说明</w:t>
      </w:r>
      <w:bookmarkEnd w:id="252"/>
    </w:p>
    <w:p w:rsidR="00037019" w:rsidRDefault="00BE788E">
      <w:pPr>
        <w:pStyle w:val="3"/>
        <w:spacing w:line="280" w:lineRule="exact"/>
        <w:jc w:val="left"/>
        <w:rPr>
          <w:rFonts w:ascii="宋体" w:hAnsi="宋体" w:cs="宋体"/>
          <w:b/>
          <w:bCs/>
        </w:rPr>
      </w:pPr>
      <w:bookmarkStart w:id="253" w:name="_Toc989286"/>
      <w:r>
        <w:rPr>
          <w:rFonts w:ascii="宋体" w:hAnsi="宋体" w:cs="宋体"/>
          <w:b/>
          <w:bCs/>
        </w:rPr>
        <w:t>80、所有者权益变动</w:t>
      </w:r>
      <w:proofErr w:type="gramStart"/>
      <w:r>
        <w:rPr>
          <w:rFonts w:ascii="宋体" w:hAnsi="宋体" w:cs="宋体"/>
          <w:b/>
          <w:bCs/>
        </w:rPr>
        <w:t>表项目</w:t>
      </w:r>
      <w:proofErr w:type="gramEnd"/>
      <w:r>
        <w:rPr>
          <w:rFonts w:ascii="宋体" w:hAnsi="宋体" w:cs="宋体"/>
          <w:b/>
          <w:bCs/>
        </w:rPr>
        <w:t>注释</w:t>
      </w:r>
      <w:bookmarkEnd w:id="253"/>
    </w:p>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说明对上年年末余额进行调整的“其他”项目名称及调整金额等事项：</w:t>
      </w:r>
      <w:r w:rsidR="00382FC5">
        <w:rPr>
          <w:rFonts w:hint="eastAsia"/>
          <w:sz w:val="18"/>
          <w:szCs w:val="18"/>
        </w:rPr>
        <w:t>无</w:t>
      </w:r>
    </w:p>
    <w:p w:rsidR="00037019" w:rsidRDefault="00BE788E">
      <w:pPr>
        <w:pStyle w:val="3"/>
        <w:spacing w:line="280" w:lineRule="exact"/>
        <w:jc w:val="left"/>
        <w:rPr>
          <w:rFonts w:ascii="宋体" w:hAnsi="宋体" w:cs="宋体"/>
          <w:b/>
          <w:bCs/>
        </w:rPr>
      </w:pPr>
      <w:bookmarkStart w:id="254" w:name="_Toc989287"/>
      <w:r>
        <w:rPr>
          <w:rFonts w:ascii="宋体" w:hAnsi="宋体" w:cs="宋体"/>
          <w:b/>
          <w:bCs/>
        </w:rPr>
        <w:t>81、外币货币性项目</w:t>
      </w:r>
      <w:bookmarkEnd w:id="254"/>
    </w:p>
    <w:p w:rsidR="00037019" w:rsidRDefault="00BE788E">
      <w:pPr>
        <w:keepNext/>
        <w:keepLines/>
        <w:spacing w:before="300" w:after="300" w:line="280" w:lineRule="exact"/>
        <w:outlineLvl w:val="3"/>
        <w:rPr>
          <w:rFonts w:ascii="宋体" w:eastAsia="宋体" w:hAnsi="宋体" w:cs="宋体"/>
          <w:b/>
          <w:bCs/>
          <w:szCs w:val="21"/>
        </w:rPr>
      </w:pPr>
      <w:bookmarkStart w:id="255" w:name="_Toc989288"/>
      <w:r>
        <w:rPr>
          <w:rFonts w:ascii="宋体" w:eastAsia="宋体" w:hAnsi="宋体" w:cs="宋体"/>
          <w:b/>
          <w:bCs/>
          <w:szCs w:val="21"/>
        </w:rPr>
        <w:t>（1） 外币货币性项目</w:t>
      </w:r>
      <w:bookmarkEnd w:id="25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期末外币余额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折算汇率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期末折算人民币余额</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22,198,696.02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7.12680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158,205,666.80</w:t>
            </w:r>
          </w:p>
        </w:tc>
      </w:tr>
      <w:tr w:rsidR="00037019" w:rsidRPr="00382FC5" w:rsidTr="00382FC5">
        <w:trPr>
          <w:trHeight w:val="89"/>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82FC5">
            <w:pPr>
              <w:spacing w:line="240" w:lineRule="exact"/>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6,394.04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7.66170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48,989.22</w:t>
            </w:r>
          </w:p>
        </w:tc>
      </w:tr>
      <w:tr w:rsidR="00037019" w:rsidRPr="00382FC5" w:rsidTr="00382FC5">
        <w:trPr>
          <w:trHeight w:val="75"/>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82FC5">
            <w:pPr>
              <w:spacing w:line="240" w:lineRule="exact"/>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6,045,446.76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0.91268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5,517,558.35</w:t>
            </w:r>
          </w:p>
        </w:tc>
      </w:tr>
      <w:tr w:rsidR="00037019" w:rsidTr="00382FC5">
        <w:trPr>
          <w:trHeight w:val="75"/>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113,122,551,292.00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0.00028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31,668,537.70</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韩元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140,970.00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0.00519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731.44</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泰铢</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87.50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0.19516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17.08</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印度尼西亚卢比</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3,000.00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0.00044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1.32</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埃及镑</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0.14838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7.42</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台币</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0.21873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0.44</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新加坡元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34,931.05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5.27900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184,401.01</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巴基斯坦卢比</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14,200.00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0.02559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363.44</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应收账款</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20,757,897.74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7.12680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147,937,385.61</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35,124,454.04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0.91268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32,057,386.71</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 xml:space="preserve"> </w:t>
            </w:r>
            <w:r>
              <w:rPr>
                <w:rFonts w:ascii="宋体" w:eastAsia="宋体" w:hAnsi="宋体" w:cs="宋体" w:hint="eastAsia"/>
                <w:sz w:val="18"/>
                <w:szCs w:val="18"/>
              </w:rPr>
              <w:t xml:space="preserve"> </w:t>
            </w:r>
            <w:r w:rsidR="00BE788E">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3,010,014,247,336.29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0.00028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842,650,281.37</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长期借款</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其他应收款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66,047,875.09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7.12680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470,709,996.19</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hint="eastAsia"/>
                <w:sz w:val="18"/>
                <w:szCs w:val="18"/>
              </w:rPr>
              <w:t xml:space="preserve"> </w:t>
            </w:r>
            <w:r w:rsidR="00BE788E">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389,323,492.52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0.91268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355,327,765.15</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hint="eastAsia"/>
                <w:sz w:val="18"/>
                <w:szCs w:val="18"/>
              </w:rPr>
              <w:t xml:space="preserve"> </w:t>
            </w:r>
            <w:r w:rsidR="00BE788E">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85,896,833,990.00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0.00028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24,046,727.15</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短期借款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5,154,520.92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7.12680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36,735,239.69</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485,000,000,000.00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0.00028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135,775,233.23</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应付账款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28,487,612.70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7.12680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203,025,518.19</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hint="eastAsia"/>
                <w:sz w:val="18"/>
                <w:szCs w:val="18"/>
              </w:rPr>
              <w:t xml:space="preserve"> </w:t>
            </w:r>
            <w:r w:rsidR="00BE788E">
              <w:rPr>
                <w:rFonts w:ascii="宋体" w:eastAsia="宋体" w:hAnsi="宋体" w:cs="宋体"/>
                <w:sz w:val="18"/>
                <w:szCs w:val="18"/>
              </w:rPr>
              <w:t xml:space="preserve"> 越南盾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142,136,313,303.00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0.00028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39,790,909.46</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 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69,072,335.15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7.12680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492,264,718.15</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hint="eastAsia"/>
                <w:sz w:val="18"/>
                <w:szCs w:val="18"/>
              </w:rPr>
              <w:t xml:space="preserve">  </w:t>
            </w:r>
            <w:r w:rsidR="00BE788E">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162,190,625.22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0.91268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148,028,139.83</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1,074,193,737,448.00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0.00028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300,719,392.24</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82FC5">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56" w:name="_Toc989289"/>
      <w:r>
        <w:rPr>
          <w:rFonts w:ascii="宋体" w:eastAsia="宋体" w:hAnsi="宋体" w:cs="宋体"/>
          <w:b/>
          <w:bCs/>
          <w:szCs w:val="21"/>
        </w:rPr>
        <w:t>（2） 境外经营实体说明，包括对于重要的境外经营实体，应披露其境外主要经营地、记账本位币及选择依据，记账本位币发生变化的还应披露原因。</w:t>
      </w:r>
      <w:bookmarkEnd w:id="256"/>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257" w:name="_Toc989290"/>
      <w:r>
        <w:rPr>
          <w:rFonts w:ascii="宋体" w:hAnsi="宋体" w:cs="宋体"/>
          <w:b/>
          <w:bCs/>
        </w:rPr>
        <w:t>82、租赁</w:t>
      </w:r>
      <w:bookmarkEnd w:id="257"/>
    </w:p>
    <w:p w:rsidR="00037019" w:rsidRDefault="00BE788E">
      <w:pPr>
        <w:keepNext/>
        <w:keepLines/>
        <w:spacing w:before="300" w:after="300" w:line="280" w:lineRule="exact"/>
        <w:outlineLvl w:val="3"/>
        <w:rPr>
          <w:rFonts w:ascii="宋体" w:eastAsia="宋体" w:hAnsi="宋体" w:cs="宋体"/>
          <w:b/>
          <w:bCs/>
          <w:szCs w:val="21"/>
        </w:rPr>
      </w:pPr>
      <w:bookmarkStart w:id="258" w:name="_Toc989291"/>
      <w:r>
        <w:rPr>
          <w:rFonts w:ascii="宋体" w:eastAsia="宋体" w:hAnsi="宋体" w:cs="宋体"/>
          <w:b/>
          <w:bCs/>
          <w:szCs w:val="21"/>
        </w:rPr>
        <w:t>（1） 本公司作为承租方</w:t>
      </w:r>
      <w:bookmarkEnd w:id="258"/>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未纳入租赁负债计量的可变租赁付款额</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简化处理的短期租赁或低价值资产的租赁费用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涉及售后租回交易的情况</w:t>
      </w:r>
      <w:r w:rsidR="00382FC5">
        <w:rPr>
          <w:rFonts w:ascii="宋体" w:eastAsia="宋体" w:hAnsi="宋体" w:cs="宋体" w:hint="eastAsia"/>
          <w:sz w:val="18"/>
          <w:szCs w:val="18"/>
        </w:rPr>
        <w:t>：</w:t>
      </w:r>
      <w:r w:rsidR="00382FC5">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59" w:name="_Toc989292"/>
      <w:r>
        <w:rPr>
          <w:rFonts w:ascii="宋体" w:eastAsia="宋体" w:hAnsi="宋体" w:cs="宋体"/>
          <w:b/>
          <w:bCs/>
          <w:szCs w:val="21"/>
        </w:rPr>
        <w:t>（2） 本公司作为出租方</w:t>
      </w:r>
      <w:bookmarkEnd w:id="259"/>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作为出租人的经营租赁</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租赁收入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其中：未计入</w:t>
            </w:r>
            <w:proofErr w:type="gramStart"/>
            <w:r>
              <w:rPr>
                <w:rFonts w:ascii="宋体" w:eastAsia="宋体" w:hAnsi="宋体" w:cs="宋体"/>
                <w:sz w:val="18"/>
                <w:szCs w:val="18"/>
              </w:rPr>
              <w:t>租赁收</w:t>
            </w:r>
            <w:proofErr w:type="gramEnd"/>
            <w:r>
              <w:rPr>
                <w:rFonts w:ascii="宋体" w:eastAsia="宋体" w:hAnsi="宋体" w:cs="宋体"/>
                <w:sz w:val="18"/>
                <w:szCs w:val="18"/>
              </w:rPr>
              <w:t>款额的可变租赁付款</w:t>
            </w:r>
            <w:proofErr w:type="gramStart"/>
            <w:r>
              <w:rPr>
                <w:rFonts w:ascii="宋体" w:eastAsia="宋体" w:hAnsi="宋体" w:cs="宋体"/>
                <w:sz w:val="18"/>
                <w:szCs w:val="18"/>
              </w:rPr>
              <w:t>额相关</w:t>
            </w:r>
            <w:proofErr w:type="gramEnd"/>
            <w:r>
              <w:rPr>
                <w:rFonts w:ascii="宋体" w:eastAsia="宋体" w:hAnsi="宋体" w:cs="宋体"/>
                <w:sz w:val="18"/>
                <w:szCs w:val="18"/>
              </w:rPr>
              <w:t>的收入</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厂房出租</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17,564,675.50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17,564,675.50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作为出租人的融资租赁</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未来五年每年未折现</w:t>
      </w:r>
      <w:proofErr w:type="gramStart"/>
      <w:r>
        <w:rPr>
          <w:rFonts w:ascii="宋体" w:eastAsia="宋体" w:hAnsi="宋体" w:cs="宋体"/>
          <w:sz w:val="18"/>
          <w:szCs w:val="18"/>
        </w:rPr>
        <w:t>租赁收</w:t>
      </w:r>
      <w:proofErr w:type="gramEnd"/>
      <w:r>
        <w:rPr>
          <w:rFonts w:ascii="宋体" w:eastAsia="宋体" w:hAnsi="宋体" w:cs="宋体"/>
          <w:sz w:val="18"/>
          <w:szCs w:val="18"/>
        </w:rPr>
        <w:t>款额</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未折现</w:t>
      </w:r>
      <w:proofErr w:type="gramStart"/>
      <w:r>
        <w:rPr>
          <w:rFonts w:ascii="宋体" w:eastAsia="宋体" w:hAnsi="宋体" w:cs="宋体"/>
          <w:sz w:val="18"/>
          <w:szCs w:val="18"/>
        </w:rPr>
        <w:t>租赁收</w:t>
      </w:r>
      <w:proofErr w:type="gramEnd"/>
      <w:r>
        <w:rPr>
          <w:rFonts w:ascii="宋体" w:eastAsia="宋体" w:hAnsi="宋体" w:cs="宋体"/>
          <w:sz w:val="18"/>
          <w:szCs w:val="18"/>
        </w:rPr>
        <w:t>款额与租赁投资净额的调节表</w:t>
      </w:r>
      <w:r w:rsidR="00382FC5">
        <w:rPr>
          <w:rFonts w:ascii="宋体" w:eastAsia="宋体" w:hAnsi="宋体" w:cs="宋体" w:hint="eastAsia"/>
          <w:sz w:val="18"/>
          <w:szCs w:val="18"/>
        </w:rPr>
        <w:t>：</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60" w:name="_Toc989293"/>
      <w:r>
        <w:rPr>
          <w:rFonts w:ascii="宋体" w:eastAsia="宋体" w:hAnsi="宋体" w:cs="宋体"/>
          <w:b/>
          <w:bCs/>
          <w:szCs w:val="21"/>
        </w:rPr>
        <w:t>（3） 作为生产商或经销商确认融资租赁销售损益</w:t>
      </w:r>
      <w:bookmarkEnd w:id="260"/>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261" w:name="_Toc989294"/>
      <w:r>
        <w:rPr>
          <w:rFonts w:ascii="宋体" w:hAnsi="宋体" w:cs="宋体"/>
          <w:b/>
          <w:bCs/>
        </w:rPr>
        <w:t>83、数据资源</w:t>
      </w:r>
      <w:bookmarkEnd w:id="261"/>
    </w:p>
    <w:p w:rsidR="00BE788E" w:rsidRDefault="00BE788E">
      <w:pPr>
        <w:pStyle w:val="a3"/>
        <w:divId w:val="1536889663"/>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262" w:name="_Toc989295"/>
      <w:r>
        <w:rPr>
          <w:rFonts w:ascii="宋体" w:hAnsi="宋体" w:cs="宋体"/>
          <w:b/>
          <w:bCs/>
        </w:rPr>
        <w:lastRenderedPageBreak/>
        <w:t>84、其他</w:t>
      </w:r>
      <w:bookmarkEnd w:id="262"/>
    </w:p>
    <w:p w:rsidR="00037019" w:rsidRDefault="00BE788E">
      <w:pPr>
        <w:pStyle w:val="2"/>
        <w:spacing w:before="300" w:after="300" w:line="320" w:lineRule="exact"/>
        <w:rPr>
          <w:rFonts w:ascii="宋体" w:eastAsia="宋体" w:hAnsi="宋体" w:cs="宋体"/>
          <w:b/>
          <w:bCs/>
          <w:sz w:val="24"/>
          <w:szCs w:val="24"/>
        </w:rPr>
      </w:pPr>
      <w:bookmarkStart w:id="263" w:name="_Toc989296"/>
      <w:r>
        <w:rPr>
          <w:rFonts w:ascii="宋体" w:eastAsia="宋体" w:hAnsi="宋体" w:cs="宋体"/>
          <w:b/>
          <w:bCs/>
          <w:sz w:val="24"/>
          <w:szCs w:val="24"/>
        </w:rPr>
        <w:t>八、研发支出</w:t>
      </w:r>
      <w:bookmarkEnd w:id="263"/>
    </w:p>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264" w:name="_Toc989299"/>
      <w:r>
        <w:rPr>
          <w:rFonts w:ascii="宋体" w:eastAsia="宋体" w:hAnsi="宋体" w:cs="宋体"/>
          <w:b/>
          <w:bCs/>
          <w:sz w:val="24"/>
          <w:szCs w:val="24"/>
        </w:rPr>
        <w:t>九、合并范围的变更</w:t>
      </w:r>
      <w:bookmarkEnd w:id="264"/>
    </w:p>
    <w:p w:rsidR="00382FC5" w:rsidRPr="00382FC5" w:rsidRDefault="00382FC5"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382FC5">
      <w:pPr>
        <w:pStyle w:val="3"/>
        <w:spacing w:line="280" w:lineRule="exact"/>
        <w:jc w:val="left"/>
        <w:rPr>
          <w:rFonts w:ascii="宋体" w:hAnsi="宋体" w:cs="宋体"/>
          <w:b/>
          <w:bCs/>
        </w:rPr>
      </w:pPr>
      <w:bookmarkStart w:id="265" w:name="_Toc989312"/>
      <w:r>
        <w:rPr>
          <w:rFonts w:ascii="宋体" w:hAnsi="宋体" w:cs="宋体" w:hint="eastAsia"/>
          <w:b/>
          <w:bCs/>
        </w:rPr>
        <w:t>1</w:t>
      </w:r>
      <w:r w:rsidR="00BE788E">
        <w:rPr>
          <w:rFonts w:ascii="宋体" w:hAnsi="宋体" w:cs="宋体"/>
          <w:b/>
          <w:bCs/>
        </w:rPr>
        <w:t>、处置子公司</w:t>
      </w:r>
      <w:bookmarkEnd w:id="265"/>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本期是否存在丧失子公司控制权的交易或事项</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2"/>
        <w:gridCol w:w="742"/>
        <w:gridCol w:w="742"/>
        <w:gridCol w:w="742"/>
        <w:gridCol w:w="742"/>
        <w:gridCol w:w="742"/>
        <w:gridCol w:w="741"/>
        <w:gridCol w:w="741"/>
        <w:gridCol w:w="741"/>
        <w:gridCol w:w="741"/>
        <w:gridCol w:w="741"/>
        <w:gridCol w:w="741"/>
        <w:gridCol w:w="741"/>
      </w:tblGrid>
      <w:tr w:rsidR="00037019">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丧失控制权时点的处置价款</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丧失控制权时点的处置比例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丧失控制权时点的处置方式</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丧失控制权的时点</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丧失控制权时点的判断依据</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处置价款与处置投资对应的合并财务报表层面享有该子公司净资产份额的差额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丧失控制权之日剩余股权的比例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丧失控制权之日合并财务报表层面剩余股权的账面价值</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丧失控制权之日合并财务报表层面剩余股权的公允价值</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按照公允价值重新计量剩余股权产生的利得或损失</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丧失控制权之日合并财务报表层面剩余股权公允价值的确定方法及主要假设</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与原子公司股权投资相关的其他综合收益转入投资损益或留存收益的金额</w:t>
            </w:r>
          </w:p>
        </w:tc>
      </w:tr>
      <w:tr w:rsidR="0003701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5,100,000.00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2024年04月30日</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122,455.54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是否存在通过多次交易分步处置对子公司投资且在本期丧失控制权的情形</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pStyle w:val="3"/>
        <w:spacing w:line="280" w:lineRule="exact"/>
        <w:jc w:val="left"/>
        <w:rPr>
          <w:rFonts w:ascii="宋体" w:hAnsi="宋体" w:cs="宋体"/>
          <w:b/>
          <w:bCs/>
        </w:rPr>
      </w:pPr>
      <w:bookmarkStart w:id="266" w:name="_Toc989313"/>
      <w:r>
        <w:rPr>
          <w:rFonts w:ascii="宋体" w:hAnsi="宋体" w:cs="宋体"/>
          <w:b/>
          <w:bCs/>
        </w:rPr>
        <w:t>5、其他原因的合并范围变动</w:t>
      </w:r>
      <w:bookmarkEnd w:id="266"/>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说明其他原因导致的合并范围变动（如，新设子公司、清算子公司等）及其相关情况：</w:t>
      </w:r>
    </w:p>
    <w:tbl>
      <w:tblPr>
        <w:tblW w:w="9513" w:type="dxa"/>
        <w:tblLayout w:type="fixed"/>
        <w:tblCellMar>
          <w:left w:w="0" w:type="dxa"/>
          <w:right w:w="0" w:type="dxa"/>
        </w:tblCellMar>
        <w:tblLook w:val="04A0" w:firstRow="1" w:lastRow="0" w:firstColumn="1" w:lastColumn="0" w:noHBand="0" w:noVBand="1"/>
      </w:tblPr>
      <w:tblGrid>
        <w:gridCol w:w="4756"/>
        <w:gridCol w:w="4757"/>
      </w:tblGrid>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A57714">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名称</w:t>
            </w:r>
          </w:p>
        </w:tc>
        <w:tc>
          <w:tcPr>
            <w:tcW w:w="4757"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A57714">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变更原因</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华孚智算（上海）网络有限公司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新设</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新疆华孚人工智能科技有限公司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新设</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绍兴</w:t>
            </w:r>
            <w:proofErr w:type="gramStart"/>
            <w:r w:rsidRPr="00382FC5">
              <w:rPr>
                <w:rFonts w:ascii="宋体" w:eastAsia="宋体" w:hAnsi="宋体" w:cs="宋体" w:hint="eastAsia"/>
                <w:sz w:val="18"/>
                <w:szCs w:val="18"/>
              </w:rPr>
              <w:t>智宽科技</w:t>
            </w:r>
            <w:proofErr w:type="gramEnd"/>
            <w:r w:rsidRPr="00382FC5">
              <w:rPr>
                <w:rFonts w:ascii="宋体" w:eastAsia="宋体" w:hAnsi="宋体" w:cs="宋体" w:hint="eastAsia"/>
                <w:sz w:val="18"/>
                <w:szCs w:val="18"/>
              </w:rPr>
              <w:t>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新设</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lastRenderedPageBreak/>
              <w:t>新疆华孚智算科技有限公司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新设</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绍兴</w:t>
            </w:r>
            <w:proofErr w:type="gramStart"/>
            <w:r w:rsidRPr="00382FC5">
              <w:rPr>
                <w:rFonts w:ascii="宋体" w:eastAsia="宋体" w:hAnsi="宋体" w:cs="宋体" w:hint="eastAsia"/>
                <w:sz w:val="18"/>
                <w:szCs w:val="18"/>
              </w:rPr>
              <w:t>华孚智算科技</w:t>
            </w:r>
            <w:proofErr w:type="gramEnd"/>
            <w:r w:rsidRPr="00382FC5">
              <w:rPr>
                <w:rFonts w:ascii="宋体" w:eastAsia="宋体" w:hAnsi="宋体" w:cs="宋体" w:hint="eastAsia"/>
                <w:sz w:val="18"/>
                <w:szCs w:val="18"/>
              </w:rPr>
              <w:t>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新设</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喀什</w:t>
            </w:r>
            <w:proofErr w:type="gramStart"/>
            <w:r w:rsidRPr="00382FC5">
              <w:rPr>
                <w:rFonts w:ascii="宋体" w:eastAsia="宋体" w:hAnsi="宋体" w:cs="宋体" w:hint="eastAsia"/>
                <w:sz w:val="18"/>
                <w:szCs w:val="18"/>
              </w:rPr>
              <w:t>暄</w:t>
            </w:r>
            <w:proofErr w:type="gramEnd"/>
            <w:r w:rsidRPr="00382FC5">
              <w:rPr>
                <w:rFonts w:ascii="宋体" w:eastAsia="宋体" w:hAnsi="宋体" w:cs="宋体" w:hint="eastAsia"/>
                <w:sz w:val="18"/>
                <w:szCs w:val="18"/>
              </w:rPr>
              <w:t>纺棉花有限公司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新设</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阿瓦提华</w:t>
            </w:r>
            <w:proofErr w:type="gramStart"/>
            <w:r w:rsidRPr="00382FC5">
              <w:rPr>
                <w:rFonts w:ascii="宋体" w:eastAsia="宋体" w:hAnsi="宋体" w:cs="宋体" w:hint="eastAsia"/>
                <w:sz w:val="18"/>
                <w:szCs w:val="18"/>
              </w:rPr>
              <w:t>孚</w:t>
            </w:r>
            <w:proofErr w:type="gramEnd"/>
            <w:r w:rsidRPr="00382FC5">
              <w:rPr>
                <w:rFonts w:ascii="宋体" w:eastAsia="宋体" w:hAnsi="宋体" w:cs="宋体" w:hint="eastAsia"/>
                <w:sz w:val="18"/>
                <w:szCs w:val="18"/>
              </w:rPr>
              <w:t>纺织有限公司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注销</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浙江缙云华孚纺织有限公司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注销</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余姚华</w:t>
            </w:r>
            <w:proofErr w:type="gramStart"/>
            <w:r w:rsidRPr="00382FC5">
              <w:rPr>
                <w:rFonts w:ascii="宋体" w:eastAsia="宋体" w:hAnsi="宋体" w:cs="宋体" w:hint="eastAsia"/>
                <w:sz w:val="18"/>
                <w:szCs w:val="18"/>
              </w:rPr>
              <w:t>孚</w:t>
            </w:r>
            <w:proofErr w:type="gramEnd"/>
            <w:r w:rsidRPr="00382FC5">
              <w:rPr>
                <w:rFonts w:ascii="宋体" w:eastAsia="宋体" w:hAnsi="宋体" w:cs="宋体" w:hint="eastAsia"/>
                <w:sz w:val="18"/>
                <w:szCs w:val="18"/>
              </w:rPr>
              <w:t>纺织有限公司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注销</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浙江服人网络科技有限公司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注销</w:t>
            </w:r>
          </w:p>
        </w:tc>
      </w:tr>
    </w:tbl>
    <w:p w:rsidR="00037019" w:rsidRDefault="00BE788E">
      <w:pPr>
        <w:pStyle w:val="2"/>
        <w:spacing w:before="300" w:after="300" w:line="320" w:lineRule="exact"/>
        <w:rPr>
          <w:rFonts w:ascii="宋体" w:eastAsia="宋体" w:hAnsi="宋体" w:cs="宋体"/>
          <w:b/>
          <w:bCs/>
          <w:sz w:val="24"/>
          <w:szCs w:val="24"/>
        </w:rPr>
      </w:pPr>
      <w:bookmarkStart w:id="267" w:name="_Toc989315"/>
      <w:r>
        <w:rPr>
          <w:rFonts w:ascii="宋体" w:eastAsia="宋体" w:hAnsi="宋体" w:cs="宋体"/>
          <w:b/>
          <w:bCs/>
          <w:sz w:val="24"/>
          <w:szCs w:val="24"/>
        </w:rPr>
        <w:t>十、在其他主体中的权益</w:t>
      </w:r>
      <w:bookmarkEnd w:id="267"/>
    </w:p>
    <w:p w:rsidR="00037019" w:rsidRDefault="00BE788E">
      <w:pPr>
        <w:pStyle w:val="3"/>
        <w:spacing w:line="280" w:lineRule="exact"/>
        <w:jc w:val="left"/>
        <w:rPr>
          <w:rFonts w:ascii="宋体" w:hAnsi="宋体" w:cs="宋体"/>
          <w:b/>
          <w:bCs/>
        </w:rPr>
      </w:pPr>
      <w:bookmarkStart w:id="268" w:name="_Toc989316"/>
      <w:r>
        <w:rPr>
          <w:rFonts w:ascii="宋体" w:hAnsi="宋体" w:cs="宋体"/>
          <w:b/>
          <w:bCs/>
        </w:rPr>
        <w:t>1、在子公司中的权益</w:t>
      </w:r>
      <w:bookmarkEnd w:id="268"/>
    </w:p>
    <w:p w:rsidR="00037019" w:rsidRDefault="00BE788E">
      <w:pPr>
        <w:keepNext/>
        <w:keepLines/>
        <w:spacing w:before="300" w:after="300" w:line="280" w:lineRule="exact"/>
        <w:outlineLvl w:val="3"/>
        <w:rPr>
          <w:rFonts w:ascii="宋体" w:eastAsia="宋体" w:hAnsi="宋体" w:cs="宋体"/>
          <w:b/>
          <w:bCs/>
          <w:sz w:val="18"/>
          <w:szCs w:val="18"/>
        </w:rPr>
      </w:pPr>
      <w:bookmarkStart w:id="269" w:name="_Toc989317"/>
      <w:r>
        <w:rPr>
          <w:rFonts w:ascii="宋体" w:eastAsia="宋体" w:hAnsi="宋体" w:cs="宋体"/>
          <w:b/>
          <w:bCs/>
          <w:sz w:val="18"/>
          <w:szCs w:val="18"/>
        </w:rPr>
        <w:t>（1） 企业集团的构成</w:t>
      </w:r>
      <w:bookmarkEnd w:id="26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37019">
        <w:trPr>
          <w:trHeight w:val="240"/>
        </w:trPr>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注册资本</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主要经营地</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注册地</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241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取得方式</w:t>
            </w:r>
          </w:p>
        </w:tc>
      </w:tr>
      <w:tr w:rsidR="00037019">
        <w:trPr>
          <w:trHeight w:val="240"/>
        </w:trPr>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205"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直接</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间接</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香港华孚有限公司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887,849,696.34</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顺道（越南）实业独资有限公司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1,035,330,795.97</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越南隆安省</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越南隆安省</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香港天成贸易有限公司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88,200,000.00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新加坡耀佳国际贸易有限公司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4,722,789.00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新加坡</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新加坡</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香港华孚贸易有限公司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宁海华孚纺织有限公司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193,757,749.00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620,560,889.03</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浙江省上虞市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浙江省上虞市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浙江社标纤维有限公司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绍</w:t>
            </w:r>
            <w:proofErr w:type="gramEnd"/>
            <w:r>
              <w:rPr>
                <w:rFonts w:ascii="宋体" w:eastAsia="宋体" w:hAnsi="宋体" w:cs="宋体"/>
                <w:sz w:val="18"/>
                <w:szCs w:val="18"/>
              </w:rPr>
              <w:t>省兴市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标信纤维</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石河子标配纤维</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浙江昇孚贸易有限公司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49,497,897.00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宁波华孚东</w:t>
            </w:r>
            <w:proofErr w:type="gramStart"/>
            <w:r>
              <w:rPr>
                <w:rFonts w:ascii="宋体" w:eastAsia="宋体" w:hAnsi="宋体" w:cs="宋体"/>
                <w:sz w:val="18"/>
                <w:szCs w:val="18"/>
              </w:rPr>
              <w:t>浩</w:t>
            </w:r>
            <w:proofErr w:type="gramEnd"/>
            <w:r>
              <w:rPr>
                <w:rFonts w:ascii="宋体" w:eastAsia="宋体" w:hAnsi="宋体" w:cs="宋体"/>
                <w:sz w:val="18"/>
                <w:szCs w:val="18"/>
              </w:rPr>
              <w:t>实业有限公司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浙江宁波</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浙江宁波</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九江中</w:t>
            </w:r>
            <w:proofErr w:type="gramStart"/>
            <w:r>
              <w:rPr>
                <w:rFonts w:ascii="宋体" w:eastAsia="宋体" w:hAnsi="宋体" w:cs="宋体"/>
                <w:sz w:val="18"/>
                <w:szCs w:val="18"/>
              </w:rPr>
              <w:t>浩</w:t>
            </w:r>
            <w:proofErr w:type="gramEnd"/>
            <w:r>
              <w:rPr>
                <w:rFonts w:ascii="宋体" w:eastAsia="宋体" w:hAnsi="宋体" w:cs="宋体"/>
                <w:sz w:val="18"/>
                <w:szCs w:val="18"/>
              </w:rPr>
              <w:t>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65,808,000.00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江西省九江市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江西省九江市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浙江金华华孚纺织有限公司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平湖市华孚金瓶纺织有限公司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上海华孚色纺贸易有限公司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2,634,516,140.00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新疆华孚算网科技有限公司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新疆六孚纺织工业</w:t>
            </w:r>
            <w:proofErr w:type="gramEnd"/>
            <w:r>
              <w:rPr>
                <w:rFonts w:ascii="宋体" w:eastAsia="宋体" w:hAnsi="宋体" w:cs="宋体"/>
                <w:sz w:val="18"/>
                <w:szCs w:val="18"/>
              </w:rPr>
              <w:t>园有限公司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338,250,000.00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新疆五家渠市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新疆五家渠市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新疆天宏新</w:t>
            </w:r>
            <w:proofErr w:type="gramStart"/>
            <w:r>
              <w:rPr>
                <w:rFonts w:ascii="宋体" w:eastAsia="宋体" w:hAnsi="宋体" w:cs="宋体"/>
                <w:sz w:val="18"/>
                <w:szCs w:val="18"/>
              </w:rPr>
              <w:t>八棉产业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48,710,000.00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阿克苏华孚新能源有限公司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光</w:t>
            </w:r>
            <w:proofErr w:type="gramStart"/>
            <w:r>
              <w:rPr>
                <w:rFonts w:ascii="宋体" w:eastAsia="宋体" w:hAnsi="宋体" w:cs="宋体"/>
                <w:sz w:val="18"/>
                <w:szCs w:val="18"/>
              </w:rPr>
              <w:t>伏销售</w:t>
            </w:r>
            <w:proofErr w:type="gramEnd"/>
            <w:r>
              <w:rPr>
                <w:rFonts w:ascii="宋体" w:eastAsia="宋体" w:hAnsi="宋体" w:cs="宋体"/>
                <w:sz w:val="18"/>
                <w:szCs w:val="18"/>
              </w:rPr>
              <w:t>及技术服务</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w:t>
            </w:r>
            <w:proofErr w:type="gramStart"/>
            <w:r>
              <w:rPr>
                <w:rFonts w:ascii="宋体" w:eastAsia="宋体" w:hAnsi="宋体" w:cs="宋体"/>
                <w:sz w:val="18"/>
                <w:szCs w:val="18"/>
              </w:rPr>
              <w:t>恒丰棉业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库车纵横棉业有限责任公司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沙雅银花棉业</w:t>
            </w:r>
            <w:proofErr w:type="gramEnd"/>
            <w:r>
              <w:rPr>
                <w:rFonts w:ascii="宋体" w:eastAsia="宋体" w:hAnsi="宋体" w:cs="宋体"/>
                <w:sz w:val="18"/>
                <w:szCs w:val="18"/>
              </w:rPr>
              <w:t>有限责任公司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7,960,000.00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胡杨河</w:t>
            </w:r>
            <w:proofErr w:type="gramEnd"/>
            <w:r>
              <w:rPr>
                <w:rFonts w:ascii="宋体" w:eastAsia="宋体" w:hAnsi="宋体" w:cs="宋体"/>
                <w:sz w:val="18"/>
                <w:szCs w:val="18"/>
              </w:rPr>
              <w:t>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w:t>
            </w:r>
            <w:proofErr w:type="gramStart"/>
            <w:r>
              <w:rPr>
                <w:rFonts w:ascii="宋体" w:eastAsia="宋体" w:hAnsi="宋体" w:cs="宋体"/>
                <w:sz w:val="18"/>
                <w:szCs w:val="18"/>
              </w:rPr>
              <w:t>胡杨河</w:t>
            </w:r>
            <w:proofErr w:type="gramEnd"/>
            <w:r>
              <w:rPr>
                <w:rFonts w:ascii="宋体" w:eastAsia="宋体" w:hAnsi="宋体" w:cs="宋体"/>
                <w:sz w:val="18"/>
                <w:szCs w:val="18"/>
              </w:rPr>
              <w:t>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w:t>
            </w:r>
            <w:proofErr w:type="gramStart"/>
            <w:r>
              <w:rPr>
                <w:rFonts w:ascii="宋体" w:eastAsia="宋体" w:hAnsi="宋体" w:cs="宋体"/>
                <w:sz w:val="18"/>
                <w:szCs w:val="18"/>
              </w:rPr>
              <w:t>胡杨河</w:t>
            </w:r>
            <w:proofErr w:type="gramEnd"/>
            <w:r>
              <w:rPr>
                <w:rFonts w:ascii="宋体" w:eastAsia="宋体" w:hAnsi="宋体" w:cs="宋体"/>
                <w:sz w:val="18"/>
                <w:szCs w:val="18"/>
              </w:rPr>
              <w:t>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浙江聚丰贸易有限公司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石河子华孚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石河子市华孚</w:t>
            </w:r>
            <w:proofErr w:type="gramStart"/>
            <w:r>
              <w:rPr>
                <w:rFonts w:ascii="宋体" w:eastAsia="宋体" w:hAnsi="宋体" w:cs="宋体"/>
                <w:sz w:val="18"/>
                <w:szCs w:val="18"/>
              </w:rPr>
              <w:t>宏丰棉业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浙江维新贸易有限公司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浙江恒孚贸易有限公司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70.40%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阿克苏银星</w:t>
            </w:r>
            <w:r>
              <w:rPr>
                <w:rFonts w:ascii="宋体" w:eastAsia="宋体" w:hAnsi="宋体" w:cs="宋体"/>
                <w:sz w:val="18"/>
                <w:szCs w:val="18"/>
              </w:rPr>
              <w:lastRenderedPageBreak/>
              <w:t>物流有限公司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80,000,000</w:t>
            </w:r>
            <w:r>
              <w:rPr>
                <w:rFonts w:ascii="宋体" w:eastAsia="宋体" w:hAnsi="宋体" w:cs="宋体"/>
                <w:sz w:val="18"/>
                <w:szCs w:val="18"/>
              </w:rPr>
              <w:lastRenderedPageBreak/>
              <w:t>.00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新疆阿克苏</w:t>
            </w:r>
            <w:r>
              <w:rPr>
                <w:rFonts w:ascii="宋体" w:eastAsia="宋体" w:hAnsi="宋体" w:cs="宋体"/>
                <w:sz w:val="18"/>
                <w:szCs w:val="18"/>
              </w:rPr>
              <w:lastRenderedPageBreak/>
              <w:t>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新疆阿克苏</w:t>
            </w:r>
            <w:r>
              <w:rPr>
                <w:rFonts w:ascii="宋体" w:eastAsia="宋体" w:hAnsi="宋体" w:cs="宋体"/>
                <w:sz w:val="18"/>
                <w:szCs w:val="18"/>
              </w:rPr>
              <w:lastRenderedPageBreak/>
              <w:t>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物流运输业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40.80%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lastRenderedPageBreak/>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深圳华孚网链投资有限公司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淮北华孚供应链管理有限公司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阿克苏华孚科技有限公司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上海清澄时尚生活用品有限公司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上海市上海市</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上海市上海市</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66.70%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w:t>
            </w:r>
            <w:proofErr w:type="gramStart"/>
            <w:r>
              <w:rPr>
                <w:rFonts w:ascii="宋体" w:eastAsia="宋体" w:hAnsi="宋体" w:cs="宋体"/>
                <w:sz w:val="18"/>
                <w:szCs w:val="18"/>
              </w:rPr>
              <w:t>清澄家</w:t>
            </w:r>
            <w:proofErr w:type="gramEnd"/>
            <w:r>
              <w:rPr>
                <w:rFonts w:ascii="宋体" w:eastAsia="宋体" w:hAnsi="宋体" w:cs="宋体"/>
                <w:sz w:val="18"/>
                <w:szCs w:val="18"/>
              </w:rPr>
              <w:t>生活用品有限公司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江苏省无锡市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江苏省无锡市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66.70%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浙江阿大互联科技有限公司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45,472,700.00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科技推广和应用服务业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新疆阿大数字科技产业园有限公司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浙江昊载科技有限公司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科技推广和应用服务业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诸暨中</w:t>
            </w:r>
            <w:proofErr w:type="gramStart"/>
            <w:r>
              <w:rPr>
                <w:rFonts w:ascii="宋体" w:eastAsia="宋体" w:hAnsi="宋体" w:cs="宋体"/>
                <w:sz w:val="18"/>
                <w:szCs w:val="18"/>
              </w:rPr>
              <w:t>昊</w:t>
            </w:r>
            <w:proofErr w:type="gramEnd"/>
            <w:r>
              <w:rPr>
                <w:rFonts w:ascii="宋体" w:eastAsia="宋体" w:hAnsi="宋体" w:cs="宋体"/>
                <w:sz w:val="18"/>
                <w:szCs w:val="18"/>
              </w:rPr>
              <w:t>投资管理有限公司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诸暨市承影电子商务有限公司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w:t>
            </w:r>
            <w:proofErr w:type="gramStart"/>
            <w:r>
              <w:rPr>
                <w:rFonts w:ascii="宋体" w:eastAsia="宋体" w:hAnsi="宋体" w:cs="宋体"/>
                <w:sz w:val="18"/>
                <w:szCs w:val="18"/>
              </w:rPr>
              <w:t>市渊虹</w:t>
            </w:r>
            <w:proofErr w:type="gramEnd"/>
            <w:r>
              <w:rPr>
                <w:rFonts w:ascii="宋体" w:eastAsia="宋体" w:hAnsi="宋体" w:cs="宋体"/>
                <w:sz w:val="18"/>
                <w:szCs w:val="18"/>
              </w:rPr>
              <w:t>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杭州名</w:t>
            </w:r>
            <w:proofErr w:type="gramStart"/>
            <w:r>
              <w:rPr>
                <w:rFonts w:ascii="宋体" w:eastAsia="宋体" w:hAnsi="宋体" w:cs="宋体"/>
                <w:sz w:val="18"/>
                <w:szCs w:val="18"/>
              </w:rPr>
              <w:t>鲲</w:t>
            </w:r>
            <w:proofErr w:type="gramEnd"/>
            <w:r>
              <w:rPr>
                <w:rFonts w:ascii="宋体" w:eastAsia="宋体" w:hAnsi="宋体" w:cs="宋体"/>
                <w:sz w:val="18"/>
                <w:szCs w:val="18"/>
              </w:rPr>
              <w:t>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软件开发</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51.96%</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诸暨市卡拉美拉科技有限公司</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8,345,295.00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诸暨市龙渊电子商务有限公司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诸暨市湛</w:t>
            </w:r>
            <w:proofErr w:type="gramStart"/>
            <w:r>
              <w:rPr>
                <w:rFonts w:ascii="宋体" w:eastAsia="宋体" w:hAnsi="宋体" w:cs="宋体"/>
                <w:sz w:val="18"/>
                <w:szCs w:val="18"/>
              </w:rPr>
              <w:t>泸</w:t>
            </w:r>
            <w:proofErr w:type="gramEnd"/>
            <w:r>
              <w:rPr>
                <w:rFonts w:ascii="宋体" w:eastAsia="宋体" w:hAnsi="宋体" w:cs="宋体"/>
                <w:sz w:val="18"/>
                <w:szCs w:val="18"/>
              </w:rPr>
              <w:t>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诸暨市</w:t>
            </w:r>
            <w:proofErr w:type="gramStart"/>
            <w:r>
              <w:rPr>
                <w:rFonts w:ascii="宋体" w:eastAsia="宋体" w:hAnsi="宋体" w:cs="宋体"/>
                <w:sz w:val="18"/>
                <w:szCs w:val="18"/>
              </w:rPr>
              <w:t>赤</w:t>
            </w:r>
            <w:proofErr w:type="gramEnd"/>
            <w:r>
              <w:rPr>
                <w:rFonts w:ascii="宋体" w:eastAsia="宋体" w:hAnsi="宋体" w:cs="宋体"/>
                <w:sz w:val="18"/>
                <w:szCs w:val="18"/>
              </w:rPr>
              <w:t>霄电子商务有限公司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诸暨市新亭电子商务有限公司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w:t>
            </w:r>
            <w:proofErr w:type="gramStart"/>
            <w:r>
              <w:rPr>
                <w:rFonts w:ascii="宋体" w:eastAsia="宋体" w:hAnsi="宋体" w:cs="宋体"/>
                <w:sz w:val="18"/>
                <w:szCs w:val="18"/>
              </w:rPr>
              <w:t>市纯钧</w:t>
            </w:r>
            <w:proofErr w:type="gramEnd"/>
            <w:r>
              <w:rPr>
                <w:rFonts w:ascii="宋体" w:eastAsia="宋体" w:hAnsi="宋体" w:cs="宋体"/>
                <w:sz w:val="18"/>
                <w:szCs w:val="18"/>
              </w:rPr>
              <w:t>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诸暨市雪霁电子商务有限公司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诸暨</w:t>
            </w:r>
            <w:proofErr w:type="gramStart"/>
            <w:r>
              <w:rPr>
                <w:rFonts w:ascii="宋体" w:eastAsia="宋体" w:hAnsi="宋体" w:cs="宋体"/>
                <w:sz w:val="18"/>
                <w:szCs w:val="18"/>
              </w:rPr>
              <w:t>市胜跃纺织</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杭州</w:t>
            </w:r>
            <w:proofErr w:type="gramStart"/>
            <w:r>
              <w:rPr>
                <w:rFonts w:ascii="宋体" w:eastAsia="宋体" w:hAnsi="宋体" w:cs="宋体"/>
                <w:sz w:val="18"/>
                <w:szCs w:val="18"/>
              </w:rPr>
              <w:t>一</w:t>
            </w:r>
            <w:proofErr w:type="gramEnd"/>
            <w:r>
              <w:rPr>
                <w:rFonts w:ascii="宋体" w:eastAsia="宋体" w:hAnsi="宋体" w:cs="宋体"/>
                <w:sz w:val="18"/>
                <w:szCs w:val="18"/>
              </w:rPr>
              <w:t>酷服饰有限公司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45.80%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浙江昊驰信息咨询有限公司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浙江昊创贸易有限公司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浙江广孚色纺有限公司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浙江易孚贸易有限公司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15,500,000.00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58.67%</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新疆棉花产业集团岳普湖棉业有限公司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英职业技能培训学校有限公司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综合服务</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综合服务</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商务服务业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35.70%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淮北中新纺织有限公司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高可续（上海）棉花有限公司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奎屯锦孚纺织有限公司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230,343,900.00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新疆奎屯市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新疆奎屯市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浙江果实设计有限公司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设计</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浙江果实纺织科技有限公司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浙江其实科技有限公司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新疆华孚宏丰农业开发有限公司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新疆维吾尔自治区阿克苏地区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新疆维吾尔自治区阿克苏地区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新疆泽孚棉花有限公司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新疆维吾尔自治区喀什</w:t>
            </w:r>
            <w:r>
              <w:rPr>
                <w:rFonts w:ascii="宋体" w:eastAsia="宋体" w:hAnsi="宋体" w:cs="宋体"/>
                <w:sz w:val="18"/>
                <w:szCs w:val="18"/>
              </w:rPr>
              <w:lastRenderedPageBreak/>
              <w:t>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新疆维吾尔自治区喀什</w:t>
            </w:r>
            <w:r>
              <w:rPr>
                <w:rFonts w:ascii="宋体" w:eastAsia="宋体" w:hAnsi="宋体" w:cs="宋体"/>
                <w:sz w:val="18"/>
                <w:szCs w:val="18"/>
              </w:rPr>
              <w:lastRenderedPageBreak/>
              <w:t>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新疆盛孚棉业有限公司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40,920,000.00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新疆维吾尔自治区喀什地区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新疆维吾尔自治区喀什地区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淮北华孚新能源有限公司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浙江达米安品牌管理有限公司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品牌管理</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平湖市科新贸易有限公司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华孚智算（上海）网络有限公司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上海市普陀区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上海市普陀区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专业技术服务业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新疆华孚人工智能科技有限公司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软件和信息技术服务业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绍兴</w:t>
            </w:r>
            <w:proofErr w:type="gramStart"/>
            <w:r>
              <w:rPr>
                <w:rFonts w:ascii="宋体" w:eastAsia="宋体" w:hAnsi="宋体" w:cs="宋体"/>
                <w:sz w:val="18"/>
                <w:szCs w:val="18"/>
              </w:rPr>
              <w:t>智宽科技</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软件和信息技术服务业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新疆华孚智算科技有限公司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研究和试验发展</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绍兴</w:t>
            </w:r>
            <w:proofErr w:type="gramStart"/>
            <w:r>
              <w:rPr>
                <w:rFonts w:ascii="宋体" w:eastAsia="宋体" w:hAnsi="宋体" w:cs="宋体"/>
                <w:sz w:val="18"/>
                <w:szCs w:val="18"/>
              </w:rPr>
              <w:t>华孚智算科技</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专业技术服务业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喀什</w:t>
            </w:r>
            <w:proofErr w:type="gramStart"/>
            <w:r>
              <w:rPr>
                <w:rFonts w:ascii="宋体" w:eastAsia="宋体" w:hAnsi="宋体" w:cs="宋体"/>
                <w:sz w:val="18"/>
                <w:szCs w:val="18"/>
              </w:rPr>
              <w:t>暄</w:t>
            </w:r>
            <w:proofErr w:type="gramEnd"/>
            <w:r>
              <w:rPr>
                <w:rFonts w:ascii="宋体" w:eastAsia="宋体" w:hAnsi="宋体" w:cs="宋体"/>
                <w:sz w:val="18"/>
                <w:szCs w:val="18"/>
              </w:rPr>
              <w:t>纺棉花有限公司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14,150,000.00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bl>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在子公司的持股比例不同于表决权比例的说明：</w:t>
      </w:r>
      <w:r w:rsidR="00A57714">
        <w:rPr>
          <w:rFonts w:hint="eastAsia"/>
          <w:sz w:val="18"/>
          <w:szCs w:val="18"/>
        </w:rPr>
        <w:t>无</w:t>
      </w:r>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持有半数或以下表决权但仍控制被投资单位、以及持有半数以上表决权但不控制被投资单位的依据：</w:t>
      </w:r>
      <w:r w:rsidR="00A57714">
        <w:rPr>
          <w:rFonts w:hint="eastAsia"/>
          <w:sz w:val="18"/>
          <w:szCs w:val="18"/>
        </w:rPr>
        <w:t>无</w:t>
      </w:r>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对于纳入合并范围的重要的结构化主体，控制的依据：</w:t>
      </w:r>
      <w:r w:rsidR="00A57714">
        <w:rPr>
          <w:rFonts w:hint="eastAsia"/>
          <w:sz w:val="18"/>
          <w:szCs w:val="18"/>
        </w:rPr>
        <w:t>无</w:t>
      </w:r>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确定公司是代理人还是委托人的依据：</w:t>
      </w:r>
      <w:r w:rsidR="00A57714">
        <w:rPr>
          <w:rFonts w:hint="eastAsia"/>
          <w:sz w:val="18"/>
          <w:szCs w:val="18"/>
        </w:rPr>
        <w:t>无</w:t>
      </w:r>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270" w:name="_Toc989318"/>
      <w:r>
        <w:rPr>
          <w:rFonts w:ascii="宋体" w:eastAsia="宋体" w:hAnsi="宋体" w:cs="宋体"/>
          <w:b/>
          <w:bCs/>
          <w:sz w:val="18"/>
          <w:szCs w:val="18"/>
        </w:rPr>
        <w:t>（2） 重要的非全资子公司</w:t>
      </w:r>
      <w:bookmarkEnd w:id="27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少数股东持股比例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本期归属于少数股东的损益</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本期向少数股东宣告分派的股利</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期末少数股东权益余额</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E860B2">
            <w:pPr>
              <w:spacing w:line="240" w:lineRule="exact"/>
              <w:rPr>
                <w:rFonts w:ascii="宋体" w:eastAsia="宋体" w:hAnsi="宋体" w:cs="宋体"/>
                <w:sz w:val="18"/>
                <w:szCs w:val="18"/>
              </w:rPr>
            </w:pPr>
            <w:r w:rsidRPr="00E860B2">
              <w:rPr>
                <w:rFonts w:ascii="宋体" w:eastAsia="宋体" w:hAnsi="宋体" w:cs="宋体" w:hint="eastAsia"/>
                <w:sz w:val="18"/>
                <w:szCs w:val="18"/>
              </w:rPr>
              <w:t>浙江阿大互联科技有限公司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35.05%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1,850,178.68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111,938,942.49</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862,150.43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10,902,652.50</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982,336.94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2,205,495.48</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108,315.82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64,411,356.31</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29.60%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-947,826.19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19,372,146.26</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59.20%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3,738,092.64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77,215,897.02</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越南隆安英鸿投资股</w:t>
            </w:r>
            <w:r>
              <w:rPr>
                <w:rFonts w:ascii="宋体" w:eastAsia="宋体" w:hAnsi="宋体" w:cs="宋体"/>
                <w:sz w:val="18"/>
                <w:szCs w:val="18"/>
              </w:rPr>
              <w:lastRenderedPageBreak/>
              <w:t>份有限公司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10.00%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-732,681.47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18,858,869.79</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327,772.95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1,752,914.20</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新疆泽孚棉花有限公司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-119,936.28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-3,328,343.70</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新疆盛孚棉业有限公司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-295,182.79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82,661.11</w:t>
            </w:r>
          </w:p>
        </w:tc>
      </w:tr>
    </w:tbl>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子公司少数股东的持股比例不同于表决权比例的说明：</w:t>
      </w:r>
      <w:r w:rsidR="00A57714">
        <w:rPr>
          <w:rFonts w:hint="eastAsia"/>
          <w:sz w:val="18"/>
          <w:szCs w:val="18"/>
        </w:rPr>
        <w:t>无</w:t>
      </w:r>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271" w:name="_Toc989319"/>
      <w:r>
        <w:rPr>
          <w:rFonts w:ascii="宋体" w:eastAsia="宋体" w:hAnsi="宋体" w:cs="宋体"/>
          <w:b/>
          <w:bCs/>
          <w:sz w:val="18"/>
          <w:szCs w:val="18"/>
        </w:rPr>
        <w:t>（3） 重要非全资子公司的主要财务信息</w:t>
      </w:r>
      <w:bookmarkEnd w:id="27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1"/>
        <w:gridCol w:w="741"/>
        <w:gridCol w:w="744"/>
        <w:gridCol w:w="741"/>
        <w:gridCol w:w="741"/>
        <w:gridCol w:w="741"/>
        <w:gridCol w:w="741"/>
        <w:gridCol w:w="741"/>
        <w:gridCol w:w="744"/>
      </w:tblGrid>
      <w:tr w:rsidR="00037019">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负债合计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负债合计</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E860B2">
            <w:pPr>
              <w:spacing w:line="240" w:lineRule="exact"/>
              <w:rPr>
                <w:rFonts w:ascii="宋体" w:eastAsia="宋体" w:hAnsi="宋体" w:cs="宋体"/>
                <w:sz w:val="18"/>
                <w:szCs w:val="18"/>
              </w:rPr>
            </w:pPr>
            <w:r w:rsidRPr="00E860B2">
              <w:rPr>
                <w:rFonts w:ascii="宋体" w:eastAsia="宋体" w:hAnsi="宋体" w:cs="宋体" w:hint="eastAsia"/>
                <w:sz w:val="18"/>
                <w:szCs w:val="18"/>
              </w:rPr>
              <w:t>浙江阿大互联科技有限公司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462,695,182.21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126,620,375.94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589,315,558.15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9,465,102.60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9,465,102.60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552,295,039.16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246,463,417.32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798,758,456.48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256,790,788.22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6,649,651.90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263,440,440.12</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18,329,086.01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14,757,709.93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33,086,795.94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10,836,484.72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10,836,484.72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14,188,580.27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14,919,937.75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29,108,518.02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8,617,697.47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8,617,697.47</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17,571,266.71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10,803,500.45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28,374,767.16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7,209,611.90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7,066,406.45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14,276,018.35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14,349,470.44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11,800,889.27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26,150,359.71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6,512,944.63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7,066,406.45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13,579,351.08</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125,411,172.14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292,827,532.23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418,238,704.37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286,786,956.77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286,786,956.77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130,172,358.30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281,338,169.39</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411,510,527.69</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280,279,832.79</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280,279,832.79</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213,165,344.35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6,435,085.72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219,600,430.07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152,400,062.70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152,400,062.70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264,668,726.60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6,438,863.73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271,107,590.33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200,705,107.46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200,705,107.46</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阿克苏银星物流有</w:t>
            </w:r>
            <w:r>
              <w:rPr>
                <w:rFonts w:ascii="宋体" w:eastAsia="宋体" w:hAnsi="宋体" w:cs="宋体"/>
                <w:sz w:val="18"/>
                <w:szCs w:val="18"/>
              </w:rPr>
              <w:lastRenderedPageBreak/>
              <w:t>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71,237,802.33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78,409,603.98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149,647,406.31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17,245,071.65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17,245,071.65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61,592,716.82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79,567,302.68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141,160,019.50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15,072,030.52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15,072,030.52</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越南隆安英鸿投资股份有限公司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189,700,094.73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181,905,320.54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371,605,415.27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276,663,267.50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276,663,267.50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199,123,715.76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157,379,060.16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356,502,775.92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250,219,974.37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250,219,974.37</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4,394,753.71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10,755.67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4,405,509.38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628,133.45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628,133.45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3,518,303.53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3,518,303.53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409,851.98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409,851.98</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新疆泽孚棉花有限公司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40,616,286.14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5,217,525.14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45,833,811.28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4,734,780.44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4,734,780.44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40,694,435.62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151,196.92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46,062,735.02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4,718,936.27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4,718,936.27</w:t>
            </w:r>
          </w:p>
        </w:tc>
      </w:tr>
    </w:tbl>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37019">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经营活动现金流量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经营活动现金流量</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C34228">
            <w:pPr>
              <w:spacing w:line="240" w:lineRule="exact"/>
              <w:rPr>
                <w:rFonts w:ascii="宋体" w:eastAsia="宋体" w:hAnsi="宋体" w:cs="宋体"/>
                <w:sz w:val="18"/>
                <w:szCs w:val="18"/>
              </w:rPr>
            </w:pPr>
            <w:r w:rsidRPr="00C34228">
              <w:rPr>
                <w:rFonts w:ascii="宋体" w:eastAsia="宋体" w:hAnsi="宋体" w:cs="宋体" w:hint="eastAsia"/>
                <w:sz w:val="18"/>
                <w:szCs w:val="18"/>
              </w:rPr>
              <w:t>浙江阿大互联科技有限公司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7,221,516.14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-2,510,667.33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-2,510,667.33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-55,892,529.53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3,864,369.32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-997,014.42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-997,014.42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-8,861,631.29</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4,744,227.94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1,759,490.67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1,759,490.67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4,007,791.42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5,081,296.91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2,919,733.33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2,919,733.33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6,266,087.82</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3,098,577.30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1,527,740.18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1,527,740.18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2,801,749.21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2,851,296.77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-1,932,081.60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-1,932,081.60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2,839,393.45</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1,003,565.68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221,052.70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221,052.70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-8,350,008.85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-7,440,071.58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-19,832,342.50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-19,832,342.50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55,002,436.09</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672,186,379.99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-3,202,115.50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-3,202,115.50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-19,433,487.78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2,769,323,126.62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224,938.77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224,938.77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45,717,050.91</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17,059,801.18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6,314,345.68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6,314,345.68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6,117,641.29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12,993,555.83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1,874,890.10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1,874,890.10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-21,980,971.91</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172,936.57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-7,326,814.73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-13,299,624.24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-2,681,665.46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-256,609.45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4,300,084.16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-30,466,831.77</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1,288,030.16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668,924.38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668,924.38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380,947.87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1,291,963.83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678,742.82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678,742.82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-5,158.45</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新疆泽孚</w:t>
            </w:r>
            <w:r>
              <w:rPr>
                <w:rFonts w:ascii="宋体" w:eastAsia="宋体" w:hAnsi="宋体" w:cs="宋体"/>
                <w:sz w:val="18"/>
                <w:szCs w:val="18"/>
              </w:rPr>
              <w:lastRenderedPageBreak/>
              <w:t>棉花有限公司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45,000.00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lastRenderedPageBreak/>
              <w:t>244,767.91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w:t>
            </w:r>
            <w:r>
              <w:rPr>
                <w:rFonts w:ascii="宋体" w:eastAsia="宋体" w:hAnsi="宋体" w:cs="宋体"/>
                <w:sz w:val="18"/>
                <w:szCs w:val="18"/>
              </w:rPr>
              <w:lastRenderedPageBreak/>
              <w:t>244,767.91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w:t>
            </w:r>
            <w:r>
              <w:rPr>
                <w:rFonts w:ascii="宋体" w:eastAsia="宋体" w:hAnsi="宋体" w:cs="宋体"/>
                <w:sz w:val="18"/>
                <w:szCs w:val="18"/>
              </w:rPr>
              <w:lastRenderedPageBreak/>
              <w:t>67,593.78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其他说明：</w:t>
      </w:r>
      <w:r w:rsidR="00A57714">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272" w:name="_Toc989320"/>
      <w:r>
        <w:rPr>
          <w:rFonts w:ascii="宋体" w:eastAsia="宋体" w:hAnsi="宋体" w:cs="宋体"/>
          <w:b/>
          <w:bCs/>
          <w:sz w:val="18"/>
          <w:szCs w:val="18"/>
        </w:rPr>
        <w:t>（4） 使用企业集团资产和清偿企业集团债务的重大限制</w:t>
      </w:r>
      <w:bookmarkEnd w:id="272"/>
    </w:p>
    <w:p w:rsidR="00BE788E" w:rsidRDefault="00BE788E">
      <w:pPr>
        <w:pStyle w:val="a3"/>
        <w:divId w:val="1526208622"/>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273" w:name="_Toc989321"/>
      <w:r>
        <w:rPr>
          <w:rFonts w:ascii="宋体" w:eastAsia="宋体" w:hAnsi="宋体" w:cs="宋体"/>
          <w:b/>
          <w:bCs/>
          <w:sz w:val="18"/>
          <w:szCs w:val="18"/>
        </w:rPr>
        <w:t>（5） 向纳入合并财务报表范围的结构化主体提供的财务支持或其他支持</w:t>
      </w:r>
      <w:bookmarkEnd w:id="273"/>
    </w:p>
    <w:p w:rsidR="00BE788E" w:rsidRDefault="00BE788E">
      <w:pPr>
        <w:pStyle w:val="a3"/>
        <w:divId w:val="1084034901"/>
        <w:rPr>
          <w:sz w:val="18"/>
          <w:szCs w:val="18"/>
        </w:rPr>
      </w:pPr>
      <w:r>
        <w:rPr>
          <w:rFonts w:hint="eastAsia"/>
          <w:sz w:val="18"/>
          <w:szCs w:val="18"/>
        </w:rPr>
        <w:t>无。</w:t>
      </w:r>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hint="eastAsia"/>
          <w:sz w:val="18"/>
          <w:szCs w:val="18"/>
        </w:rPr>
        <w:t>无</w:t>
      </w:r>
    </w:p>
    <w:p w:rsidR="00037019" w:rsidRDefault="00BE788E">
      <w:pPr>
        <w:pStyle w:val="3"/>
        <w:spacing w:line="280" w:lineRule="exact"/>
        <w:jc w:val="left"/>
        <w:rPr>
          <w:rFonts w:ascii="宋体" w:hAnsi="宋体" w:cs="宋体"/>
          <w:b/>
          <w:bCs/>
        </w:rPr>
      </w:pPr>
      <w:bookmarkStart w:id="274" w:name="_Toc989322"/>
      <w:r>
        <w:rPr>
          <w:rFonts w:ascii="宋体" w:hAnsi="宋体" w:cs="宋体"/>
          <w:b/>
          <w:bCs/>
        </w:rPr>
        <w:t>2、在子公司的所有者权益份额发生变化且仍控制子公司的交易</w:t>
      </w:r>
      <w:bookmarkEnd w:id="274"/>
    </w:p>
    <w:p w:rsidR="00037019" w:rsidRDefault="00BE788E">
      <w:pPr>
        <w:keepNext/>
        <w:keepLines/>
        <w:spacing w:before="300" w:after="300" w:line="280" w:lineRule="exact"/>
        <w:outlineLvl w:val="3"/>
        <w:rPr>
          <w:rFonts w:ascii="宋体" w:eastAsia="宋体" w:hAnsi="宋体" w:cs="宋体"/>
          <w:b/>
          <w:bCs/>
          <w:sz w:val="18"/>
          <w:szCs w:val="18"/>
        </w:rPr>
      </w:pPr>
      <w:bookmarkStart w:id="275" w:name="_Toc989323"/>
      <w:r>
        <w:rPr>
          <w:rFonts w:ascii="宋体" w:eastAsia="宋体" w:hAnsi="宋体" w:cs="宋体"/>
          <w:b/>
          <w:bCs/>
          <w:sz w:val="18"/>
          <w:szCs w:val="18"/>
        </w:rPr>
        <w:t>（1） 在子公司所有者权益份额发生变化的情况说明</w:t>
      </w:r>
      <w:bookmarkEnd w:id="275"/>
    </w:p>
    <w:p w:rsidR="00BE788E" w:rsidRDefault="00BE788E">
      <w:pPr>
        <w:pStyle w:val="a3"/>
        <w:divId w:val="577253426"/>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276" w:name="_Toc989324"/>
      <w:r>
        <w:rPr>
          <w:rFonts w:ascii="宋体" w:eastAsia="宋体" w:hAnsi="宋体" w:cs="宋体"/>
          <w:b/>
          <w:bCs/>
          <w:sz w:val="18"/>
          <w:szCs w:val="18"/>
        </w:rPr>
        <w:t>（2） 交易对于少数股东权益及归属于母公司所有者权益的影响</w:t>
      </w:r>
      <w:bookmarkEnd w:id="276"/>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ascii="宋体" w:eastAsia="宋体" w:hAnsi="宋体" w:cs="宋体" w:hint="eastAsia"/>
          <w:sz w:val="18"/>
          <w:szCs w:val="18"/>
        </w:rPr>
        <w:t>：</w:t>
      </w:r>
      <w:r w:rsidR="00A57714">
        <w:rPr>
          <w:rFonts w:hint="eastAsia"/>
          <w:sz w:val="18"/>
          <w:szCs w:val="18"/>
        </w:rPr>
        <w:t>无</w:t>
      </w:r>
    </w:p>
    <w:p w:rsidR="00037019" w:rsidRDefault="00BE788E">
      <w:pPr>
        <w:pStyle w:val="3"/>
        <w:spacing w:line="280" w:lineRule="exact"/>
        <w:jc w:val="left"/>
        <w:rPr>
          <w:rFonts w:ascii="宋体" w:hAnsi="宋体" w:cs="宋体"/>
          <w:b/>
          <w:bCs/>
        </w:rPr>
      </w:pPr>
      <w:bookmarkStart w:id="277" w:name="_Toc989325"/>
      <w:r>
        <w:rPr>
          <w:rFonts w:ascii="宋体" w:hAnsi="宋体" w:cs="宋体"/>
          <w:b/>
          <w:bCs/>
        </w:rPr>
        <w:t>3、在合营安排或联营企业中的权益</w:t>
      </w:r>
      <w:bookmarkEnd w:id="277"/>
    </w:p>
    <w:p w:rsidR="00037019" w:rsidRDefault="00BE788E">
      <w:pPr>
        <w:keepNext/>
        <w:keepLines/>
        <w:spacing w:before="300" w:after="300" w:line="280" w:lineRule="exact"/>
        <w:outlineLvl w:val="3"/>
        <w:rPr>
          <w:rFonts w:ascii="宋体" w:eastAsia="宋体" w:hAnsi="宋体" w:cs="宋体"/>
          <w:b/>
          <w:bCs/>
          <w:szCs w:val="21"/>
        </w:rPr>
      </w:pPr>
      <w:bookmarkStart w:id="278" w:name="_Toc989326"/>
      <w:r>
        <w:rPr>
          <w:rFonts w:ascii="宋体" w:eastAsia="宋体" w:hAnsi="宋体" w:cs="宋体"/>
          <w:b/>
          <w:bCs/>
          <w:szCs w:val="21"/>
        </w:rPr>
        <w:t>（1） 重要的合营企业或联营企业</w:t>
      </w:r>
      <w:bookmarkEnd w:id="278"/>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合营企业或联营企业名称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主要经营地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注册地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对合营企业或联营企业投资的会计处理方法</w:t>
            </w:r>
          </w:p>
        </w:tc>
      </w:tr>
      <w:tr w:rsidR="0003701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直接</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间接</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A5771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福田实业（集团）有限公司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境内外</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纱线生产贸易</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17.30%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权益法核算</w:t>
            </w:r>
          </w:p>
        </w:tc>
      </w:tr>
      <w:tr w:rsidR="00037019" w:rsidTr="00A5771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江苏省常州市</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江苏省常州市</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权益法核算</w:t>
            </w:r>
          </w:p>
        </w:tc>
      </w:tr>
      <w:tr w:rsidR="00037019" w:rsidTr="00A5771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园区管理及供应链</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权益法核算</w:t>
            </w:r>
          </w:p>
        </w:tc>
      </w:tr>
    </w:tbl>
    <w:p w:rsidR="00037019" w:rsidRDefault="00BE788E" w:rsidP="00A57714">
      <w:pPr>
        <w:rPr>
          <w:rFonts w:ascii="宋体" w:eastAsia="宋体" w:hAnsi="宋体" w:cs="宋体"/>
          <w:sz w:val="18"/>
          <w:szCs w:val="18"/>
        </w:rPr>
      </w:pPr>
      <w:r>
        <w:rPr>
          <w:rFonts w:ascii="宋体" w:eastAsia="宋体" w:hAnsi="宋体" w:cs="宋体"/>
          <w:sz w:val="18"/>
          <w:szCs w:val="18"/>
        </w:rPr>
        <w:t>在合营企业或联营企业的持股比例不同于表决权比例的说明：</w:t>
      </w:r>
    </w:p>
    <w:p w:rsidR="00037019" w:rsidRDefault="00BE788E" w:rsidP="00A57714">
      <w:pPr>
        <w:rPr>
          <w:rFonts w:ascii="宋体" w:eastAsia="宋体" w:hAnsi="宋体" w:cs="宋体"/>
          <w:sz w:val="18"/>
          <w:szCs w:val="18"/>
        </w:rPr>
      </w:pPr>
      <w:r>
        <w:rPr>
          <w:rFonts w:ascii="宋体" w:eastAsia="宋体" w:hAnsi="宋体" w:cs="宋体"/>
          <w:sz w:val="18"/>
          <w:szCs w:val="18"/>
        </w:rPr>
        <w:t>持有20%以下表决权但具有重大影响，或者持有20%或以上表决权但不具有重大影响的依据：</w:t>
      </w:r>
    </w:p>
    <w:p w:rsidR="00BE788E" w:rsidRDefault="00BE788E" w:rsidP="00A57714">
      <w:pPr>
        <w:pStyle w:val="a3"/>
        <w:spacing w:before="0" w:beforeAutospacing="0" w:after="0" w:afterAutospacing="0"/>
        <w:divId w:val="1432119529"/>
        <w:rPr>
          <w:sz w:val="18"/>
          <w:szCs w:val="18"/>
        </w:rPr>
      </w:pPr>
      <w:r>
        <w:rPr>
          <w:rFonts w:hint="eastAsia"/>
          <w:sz w:val="18"/>
          <w:szCs w:val="18"/>
        </w:rPr>
        <w:t>本公司子公司香港天成持有福田实业（集团）有限公司（以下简称福田实业，股票代码：</w:t>
      </w:r>
      <w:r>
        <w:rPr>
          <w:rFonts w:ascii="Times New Roman" w:hAnsi="Times New Roman" w:cs="Times New Roman"/>
          <w:sz w:val="18"/>
          <w:szCs w:val="18"/>
        </w:rPr>
        <w:t>HK0420</w:t>
      </w:r>
      <w:r>
        <w:rPr>
          <w:rFonts w:hint="eastAsia"/>
          <w:sz w:val="18"/>
          <w:szCs w:val="18"/>
        </w:rPr>
        <w:t>）</w:t>
      </w:r>
      <w:r>
        <w:rPr>
          <w:rFonts w:ascii="Times New Roman" w:hAnsi="Times New Roman" w:cs="Times New Roman"/>
          <w:sz w:val="18"/>
          <w:szCs w:val="18"/>
        </w:rPr>
        <w:t>17.30%</w:t>
      </w:r>
      <w:r>
        <w:rPr>
          <w:rFonts w:hint="eastAsia"/>
          <w:sz w:val="18"/>
          <w:szCs w:val="18"/>
        </w:rPr>
        <w:t>的股权及表决权。虽然该比例低于</w:t>
      </w:r>
      <w:r>
        <w:rPr>
          <w:rFonts w:ascii="Times New Roman" w:hAnsi="Times New Roman" w:cs="Times New Roman"/>
          <w:sz w:val="18"/>
          <w:szCs w:val="18"/>
        </w:rPr>
        <w:t>20%</w:t>
      </w:r>
      <w:r>
        <w:rPr>
          <w:rFonts w:hint="eastAsia"/>
          <w:sz w:val="18"/>
          <w:szCs w:val="18"/>
        </w:rPr>
        <w:t>，但由于本公司在福田实业董事会中派有代表并参与财务和经营政策的决策，所以本公司能够对福田实业施加重大影响。</w:t>
      </w:r>
    </w:p>
    <w:p w:rsidR="00037019" w:rsidRDefault="00BE788E">
      <w:pPr>
        <w:keepNext/>
        <w:keepLines/>
        <w:spacing w:before="300" w:after="300" w:line="280" w:lineRule="exact"/>
        <w:outlineLvl w:val="3"/>
        <w:rPr>
          <w:rFonts w:ascii="宋体" w:eastAsia="宋体" w:hAnsi="宋体" w:cs="宋体"/>
          <w:b/>
          <w:bCs/>
          <w:szCs w:val="21"/>
        </w:rPr>
      </w:pPr>
      <w:bookmarkStart w:id="279" w:name="_Toc989327"/>
      <w:r>
        <w:rPr>
          <w:rFonts w:ascii="宋体" w:eastAsia="宋体" w:hAnsi="宋体" w:cs="宋体"/>
          <w:b/>
          <w:bCs/>
          <w:szCs w:val="21"/>
        </w:rPr>
        <w:t>（2） 重要合营企业的主要财务信息</w:t>
      </w:r>
      <w:bookmarkEnd w:id="279"/>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ascii="宋体" w:eastAsia="宋体" w:hAnsi="宋体" w:cs="宋体" w:hint="eastAsia"/>
          <w:sz w:val="18"/>
          <w:szCs w:val="18"/>
        </w:rPr>
        <w:t>：</w:t>
      </w:r>
      <w:r w:rsidR="00A57714">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80" w:name="_Toc989328"/>
      <w:r>
        <w:rPr>
          <w:rFonts w:ascii="宋体" w:eastAsia="宋体" w:hAnsi="宋体" w:cs="宋体"/>
          <w:b/>
          <w:bCs/>
          <w:szCs w:val="21"/>
        </w:rPr>
        <w:lastRenderedPageBreak/>
        <w:t>（3） 重要联营企业的主要财务信息</w:t>
      </w:r>
      <w:bookmarkEnd w:id="28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rsidTr="00A57714">
        <w:trPr>
          <w:cantSplit/>
          <w:trHeight w:val="240"/>
        </w:trPr>
        <w:tc>
          <w:tcPr>
            <w:tcW w:w="192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期初余额/上期发生额</w:t>
            </w:r>
          </w:p>
        </w:tc>
      </w:tr>
      <w:tr w:rsidR="00037019" w:rsidTr="00A57714">
        <w:trPr>
          <w:cantSplit/>
          <w:trHeight w:val="240"/>
        </w:trPr>
        <w:tc>
          <w:tcPr>
            <w:tcW w:w="192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江苏科孚纺织品贸易有限公司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江苏科孚纺织品贸易有限公司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43,736,559.85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133,832,581.01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47,415,975.74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100,123,998.46</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非流动资产</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40,118.02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12,035.40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47,197.66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资产合计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43,776,677.87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133,844,616.41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47,463,173.40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100,123,998.46</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12,109.66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36,896,814.77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2,416,713.87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136,622.31</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12,109.66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36,896,814.77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2,416,713.87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136,622.31</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少数股东权益</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归属于母公司股东权益</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43,767,839.58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96,947,801.64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45,046,459.53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99,987,376.15</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按持股比例计算的净资产份额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30,291,721.77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38,779,120.66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31,176,654.64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39,994,950.46</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调整事项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--商誉</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--内部交易未实现利润</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对联营企业权益投资的账面价值</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30,291,721.77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38,779,120.66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45,040,232.91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39,994,950.46</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存在公开报价的联营企业权益投资的公允价值</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营业收入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107,677,643.96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27,963,606.60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241,679,258.52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117,618.45</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净利润</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-1,278,619.95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-3,039,574.50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7,634.74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-102.16</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终止经营的净利润</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其他综合收益</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综合收益总额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本年度收到的来自联营企业的股利</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ascii="宋体" w:eastAsia="宋体" w:hAnsi="宋体" w:cs="宋体"/>
          <w:sz w:val="18"/>
          <w:szCs w:val="18"/>
        </w:rPr>
        <w:t>：</w:t>
      </w:r>
    </w:p>
    <w:p w:rsidR="00BE788E" w:rsidRDefault="00BE788E">
      <w:pPr>
        <w:pStyle w:val="a3"/>
        <w:divId w:val="1840659215"/>
        <w:rPr>
          <w:sz w:val="18"/>
          <w:szCs w:val="18"/>
        </w:rPr>
      </w:pPr>
      <w:r>
        <w:rPr>
          <w:rFonts w:hint="eastAsia"/>
          <w:sz w:val="18"/>
          <w:szCs w:val="18"/>
        </w:rPr>
        <w:t>联营企业福田实业(集团)有限公司（代码：HK0420）主要财务信息详见香港</w:t>
      </w:r>
      <w:r w:rsidR="00A57714">
        <w:rPr>
          <w:rFonts w:hint="eastAsia"/>
          <w:sz w:val="18"/>
          <w:szCs w:val="18"/>
        </w:rPr>
        <w:t>证券交易所</w:t>
      </w:r>
      <w:r>
        <w:rPr>
          <w:rFonts w:hint="eastAsia"/>
          <w:sz w:val="18"/>
          <w:szCs w:val="18"/>
        </w:rPr>
        <w:t>披露易：</w:t>
      </w:r>
      <w:r w:rsidRPr="00A57714">
        <w:rPr>
          <w:rFonts w:hint="eastAsia"/>
          <w:color w:val="000000"/>
          <w:sz w:val="18"/>
          <w:szCs w:val="18"/>
        </w:rPr>
        <w:t>https://www1.hkexnews.hk/listedco/listconews/sehk/2024/0823/2024082301813_c.pdf</w:t>
      </w:r>
    </w:p>
    <w:p w:rsidR="00037019" w:rsidRDefault="00BE788E">
      <w:pPr>
        <w:keepNext/>
        <w:keepLines/>
        <w:spacing w:before="300" w:after="300" w:line="280" w:lineRule="exact"/>
        <w:outlineLvl w:val="3"/>
        <w:rPr>
          <w:rFonts w:ascii="宋体" w:eastAsia="宋体" w:hAnsi="宋体" w:cs="宋体"/>
          <w:b/>
          <w:bCs/>
          <w:szCs w:val="21"/>
        </w:rPr>
      </w:pPr>
      <w:bookmarkStart w:id="281" w:name="_Toc989329"/>
      <w:r>
        <w:rPr>
          <w:rFonts w:ascii="宋体" w:eastAsia="宋体" w:hAnsi="宋体" w:cs="宋体"/>
          <w:b/>
          <w:bCs/>
          <w:szCs w:val="21"/>
        </w:rPr>
        <w:t>（4） 不重要的合营企业和联营企业的汇总财务信息</w:t>
      </w:r>
      <w:bookmarkEnd w:id="281"/>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ascii="宋体" w:eastAsia="宋体" w:hAnsi="宋体" w:cs="宋体" w:hint="eastAsia"/>
          <w:sz w:val="18"/>
          <w:szCs w:val="18"/>
        </w:rPr>
        <w:t>：</w:t>
      </w:r>
      <w:r w:rsidR="00A57714">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82" w:name="_Toc989330"/>
      <w:r>
        <w:rPr>
          <w:rFonts w:ascii="宋体" w:eastAsia="宋体" w:hAnsi="宋体" w:cs="宋体"/>
          <w:b/>
          <w:bCs/>
          <w:szCs w:val="21"/>
        </w:rPr>
        <w:t>（5） 合营企业或联营企业向本公司转移资金的能力存在重大限制的说明</w:t>
      </w:r>
      <w:bookmarkEnd w:id="282"/>
    </w:p>
    <w:p w:rsidR="00BE788E" w:rsidRDefault="00A57714">
      <w:pPr>
        <w:pStyle w:val="a3"/>
        <w:divId w:val="22942829"/>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83" w:name="_Toc989331"/>
      <w:r>
        <w:rPr>
          <w:rFonts w:ascii="宋体" w:eastAsia="宋体" w:hAnsi="宋体" w:cs="宋体"/>
          <w:b/>
          <w:bCs/>
          <w:szCs w:val="21"/>
        </w:rPr>
        <w:lastRenderedPageBreak/>
        <w:t>（6） 合营企业或联营企业发生的超额亏损</w:t>
      </w:r>
      <w:bookmarkEnd w:id="283"/>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ascii="宋体" w:eastAsia="宋体" w:hAnsi="宋体" w:cs="宋体" w:hint="eastAsia"/>
          <w:sz w:val="18"/>
          <w:szCs w:val="18"/>
        </w:rPr>
        <w:t>：</w:t>
      </w:r>
      <w:r w:rsidR="00A57714">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84" w:name="_Toc989332"/>
      <w:r>
        <w:rPr>
          <w:rFonts w:ascii="宋体" w:eastAsia="宋体" w:hAnsi="宋体" w:cs="宋体"/>
          <w:b/>
          <w:bCs/>
          <w:szCs w:val="21"/>
        </w:rPr>
        <w:t>（7） 与合营企业投资相关的未确认承诺</w:t>
      </w:r>
      <w:bookmarkEnd w:id="284"/>
    </w:p>
    <w:p w:rsidR="00BE788E" w:rsidRDefault="00A57714">
      <w:pPr>
        <w:pStyle w:val="a3"/>
        <w:divId w:val="190337311"/>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85" w:name="_Toc989333"/>
      <w:r>
        <w:rPr>
          <w:rFonts w:ascii="宋体" w:eastAsia="宋体" w:hAnsi="宋体" w:cs="宋体"/>
          <w:b/>
          <w:bCs/>
          <w:szCs w:val="21"/>
        </w:rPr>
        <w:t>（8） 与合营企业或联营企业投资相关的或有负债</w:t>
      </w:r>
      <w:bookmarkEnd w:id="285"/>
    </w:p>
    <w:p w:rsidR="00BE788E" w:rsidRDefault="00A57714">
      <w:pPr>
        <w:pStyle w:val="a3"/>
        <w:divId w:val="848981188"/>
        <w:rPr>
          <w:sz w:val="18"/>
          <w:szCs w:val="18"/>
        </w:rPr>
      </w:pPr>
      <w:r>
        <w:rPr>
          <w:rFonts w:hint="eastAsia"/>
          <w:sz w:val="18"/>
          <w:szCs w:val="18"/>
        </w:rPr>
        <w:t>无</w:t>
      </w:r>
    </w:p>
    <w:p w:rsidR="00BE788E" w:rsidRDefault="00BE788E" w:rsidP="00A57714">
      <w:pPr>
        <w:pStyle w:val="3"/>
        <w:spacing w:line="280" w:lineRule="exact"/>
        <w:jc w:val="left"/>
        <w:rPr>
          <w:sz w:val="18"/>
          <w:szCs w:val="18"/>
        </w:rPr>
      </w:pPr>
      <w:bookmarkStart w:id="286" w:name="_Toc989334"/>
      <w:r>
        <w:rPr>
          <w:rFonts w:ascii="宋体" w:hAnsi="宋体" w:cs="宋体"/>
          <w:b/>
          <w:bCs/>
        </w:rPr>
        <w:t>4、重要的共同经营</w:t>
      </w:r>
      <w:bookmarkEnd w:id="286"/>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ascii="宋体" w:eastAsia="宋体" w:hAnsi="宋体" w:cs="宋体" w:hint="eastAsia"/>
          <w:sz w:val="18"/>
          <w:szCs w:val="18"/>
        </w:rPr>
        <w:t>：</w:t>
      </w:r>
      <w:r w:rsidR="00A57714">
        <w:rPr>
          <w:rFonts w:hint="eastAsia"/>
          <w:sz w:val="18"/>
          <w:szCs w:val="18"/>
        </w:rPr>
        <w:t>无</w:t>
      </w:r>
    </w:p>
    <w:p w:rsidR="00037019" w:rsidRDefault="00BE788E">
      <w:pPr>
        <w:pStyle w:val="3"/>
        <w:spacing w:line="280" w:lineRule="exact"/>
        <w:jc w:val="left"/>
        <w:rPr>
          <w:rFonts w:ascii="宋体" w:hAnsi="宋体" w:cs="宋体"/>
          <w:b/>
          <w:bCs/>
        </w:rPr>
      </w:pPr>
      <w:bookmarkStart w:id="287" w:name="_Toc989335"/>
      <w:r>
        <w:rPr>
          <w:rFonts w:ascii="宋体" w:hAnsi="宋体" w:cs="宋体"/>
          <w:b/>
          <w:bCs/>
        </w:rPr>
        <w:t>5、在未纳入合并财务报表范围的结构化主体中的权益</w:t>
      </w:r>
      <w:bookmarkEnd w:id="287"/>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未纳入合并财务报表范围的结构化主体的相关说明：</w:t>
      </w:r>
      <w:r w:rsidR="00A57714">
        <w:rPr>
          <w:rFonts w:hint="eastAsia"/>
          <w:sz w:val="18"/>
          <w:szCs w:val="18"/>
        </w:rPr>
        <w:t>无</w:t>
      </w:r>
    </w:p>
    <w:p w:rsidR="00037019" w:rsidRDefault="00BE788E">
      <w:pPr>
        <w:pStyle w:val="3"/>
        <w:spacing w:line="280" w:lineRule="exact"/>
        <w:jc w:val="left"/>
        <w:rPr>
          <w:rFonts w:ascii="宋体" w:hAnsi="宋体" w:cs="宋体"/>
          <w:b/>
          <w:bCs/>
        </w:rPr>
      </w:pPr>
      <w:bookmarkStart w:id="288" w:name="_Toc989336"/>
      <w:r>
        <w:rPr>
          <w:rFonts w:ascii="宋体" w:hAnsi="宋体" w:cs="宋体"/>
          <w:b/>
          <w:bCs/>
        </w:rPr>
        <w:t>6、其他</w:t>
      </w:r>
      <w:bookmarkEnd w:id="288"/>
    </w:p>
    <w:p w:rsidR="00BE788E" w:rsidRDefault="00A57714">
      <w:pPr>
        <w:pStyle w:val="a3"/>
        <w:divId w:val="1462965501"/>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289" w:name="_Toc989337"/>
      <w:r>
        <w:rPr>
          <w:rFonts w:ascii="宋体" w:eastAsia="宋体" w:hAnsi="宋体" w:cs="宋体"/>
          <w:b/>
          <w:bCs/>
          <w:sz w:val="24"/>
          <w:szCs w:val="24"/>
        </w:rPr>
        <w:t>十一、政府补助</w:t>
      </w:r>
      <w:bookmarkEnd w:id="289"/>
    </w:p>
    <w:p w:rsidR="00037019" w:rsidRDefault="00BE788E">
      <w:pPr>
        <w:pStyle w:val="3"/>
        <w:spacing w:line="280" w:lineRule="exact"/>
        <w:jc w:val="left"/>
        <w:rPr>
          <w:rFonts w:ascii="宋体" w:hAnsi="宋体" w:cs="宋体"/>
          <w:b/>
          <w:bCs/>
        </w:rPr>
      </w:pPr>
      <w:bookmarkStart w:id="290" w:name="_Toc989338"/>
      <w:r>
        <w:rPr>
          <w:rFonts w:ascii="宋体" w:hAnsi="宋体" w:cs="宋体"/>
          <w:b/>
          <w:bCs/>
        </w:rPr>
        <w:t>1、报告期末按应收金额确认的政府补助</w:t>
      </w:r>
      <w:bookmarkEnd w:id="290"/>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应收款项的期末余额：382,641,050.08元。</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未能在预计时点收到预计金额的政府补助的原因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291" w:name="_Toc989339"/>
      <w:r>
        <w:rPr>
          <w:rFonts w:ascii="宋体" w:hAnsi="宋体" w:cs="宋体"/>
          <w:b/>
          <w:bCs/>
        </w:rPr>
        <w:t>2、涉及政府补助的负债项目</w:t>
      </w:r>
      <w:bookmarkEnd w:id="29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9"/>
        <w:gridCol w:w="1450"/>
        <w:gridCol w:w="960"/>
        <w:gridCol w:w="1417"/>
        <w:gridCol w:w="1418"/>
        <w:gridCol w:w="850"/>
        <w:gridCol w:w="1418"/>
        <w:gridCol w:w="1167"/>
      </w:tblGrid>
      <w:tr w:rsidR="00037019" w:rsidTr="00A57714">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会计科目</w:t>
            </w:r>
          </w:p>
        </w:tc>
        <w:tc>
          <w:tcPr>
            <w:tcW w:w="145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9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本期新增补助金额</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本期计入营业外收入金额</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本期转入其他收益金额</w:t>
            </w:r>
          </w:p>
        </w:tc>
        <w:tc>
          <w:tcPr>
            <w:tcW w:w="85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本期其他变动</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16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与资产/收益相关</w:t>
            </w:r>
          </w:p>
        </w:tc>
      </w:tr>
      <w:tr w:rsidR="00037019" w:rsidTr="00A57714">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递延收益</w:t>
            </w:r>
          </w:p>
        </w:tc>
        <w:tc>
          <w:tcPr>
            <w:tcW w:w="14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35,626,316.46</w:t>
            </w:r>
          </w:p>
        </w:tc>
        <w:tc>
          <w:tcPr>
            <w:tcW w:w="9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1,214,541.48</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34,411,774.98</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与资产相关</w:t>
            </w:r>
          </w:p>
        </w:tc>
      </w:tr>
    </w:tbl>
    <w:p w:rsidR="00037019" w:rsidRDefault="00BE788E">
      <w:pPr>
        <w:pStyle w:val="3"/>
        <w:spacing w:line="280" w:lineRule="exact"/>
        <w:jc w:val="left"/>
        <w:rPr>
          <w:rFonts w:ascii="宋体" w:hAnsi="宋体" w:cs="宋体"/>
          <w:b/>
          <w:bCs/>
        </w:rPr>
      </w:pPr>
      <w:bookmarkStart w:id="292" w:name="_Toc989340"/>
      <w:r>
        <w:rPr>
          <w:rFonts w:ascii="宋体" w:hAnsi="宋体" w:cs="宋体"/>
          <w:b/>
          <w:bCs/>
        </w:rPr>
        <w:t>3、计入当期损益的政府补助</w:t>
      </w:r>
      <w:bookmarkEnd w:id="29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会计科目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A5771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C34228">
            <w:pPr>
              <w:spacing w:line="240" w:lineRule="exact"/>
              <w:jc w:val="right"/>
              <w:rPr>
                <w:rFonts w:ascii="宋体" w:eastAsia="宋体" w:hAnsi="宋体" w:cs="宋体"/>
                <w:sz w:val="18"/>
                <w:szCs w:val="18"/>
              </w:rPr>
            </w:pPr>
            <w:r w:rsidRPr="00C34228">
              <w:rPr>
                <w:rFonts w:ascii="宋体" w:eastAsia="宋体" w:hAnsi="宋体" w:cs="宋体"/>
                <w:sz w:val="18"/>
                <w:szCs w:val="18"/>
              </w:rPr>
              <w:t>41,764,407.62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73,566,623.46</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其他说明：</w:t>
      </w:r>
    </w:p>
    <w:p w:rsidR="00BE788E" w:rsidRDefault="00BE788E" w:rsidP="00A57714">
      <w:pPr>
        <w:widowControl/>
        <w:spacing w:before="100" w:beforeAutospacing="1" w:after="100" w:afterAutospacing="1"/>
        <w:ind w:left="426"/>
        <w:divId w:val="371424788"/>
        <w:rPr>
          <w:sz w:val="18"/>
          <w:szCs w:val="18"/>
        </w:rPr>
      </w:pPr>
      <w:r>
        <w:rPr>
          <w:rFonts w:hint="eastAsia"/>
          <w:sz w:val="18"/>
          <w:szCs w:val="18"/>
        </w:rPr>
        <w:t>涉及政府补助的负债项目</w:t>
      </w:r>
    </w:p>
    <w:tbl>
      <w:tblPr>
        <w:tblW w:w="10547" w:type="dxa"/>
        <w:jc w:val="center"/>
        <w:tblInd w:w="488" w:type="dxa"/>
        <w:tblCellMar>
          <w:left w:w="0" w:type="dxa"/>
          <w:right w:w="0" w:type="dxa"/>
        </w:tblCellMar>
        <w:tblLook w:val="04A0" w:firstRow="1" w:lastRow="0" w:firstColumn="1" w:lastColumn="0" w:noHBand="0" w:noVBand="1"/>
      </w:tblPr>
      <w:tblGrid>
        <w:gridCol w:w="1418"/>
        <w:gridCol w:w="1560"/>
        <w:gridCol w:w="771"/>
        <w:gridCol w:w="1147"/>
        <w:gridCol w:w="1470"/>
        <w:gridCol w:w="967"/>
        <w:gridCol w:w="570"/>
        <w:gridCol w:w="1560"/>
        <w:gridCol w:w="1084"/>
      </w:tblGrid>
      <w:tr w:rsidR="00A57714" w:rsidRPr="00A57714" w:rsidTr="00A57714">
        <w:trPr>
          <w:divId w:val="371424788"/>
          <w:trHeight w:val="285"/>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hint="eastAsia"/>
                <w:color w:val="000000"/>
                <w:sz w:val="18"/>
                <w:szCs w:val="18"/>
              </w:rPr>
              <w:t>负债项目</w:t>
            </w:r>
          </w:p>
        </w:tc>
        <w:tc>
          <w:tcPr>
            <w:tcW w:w="1560"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color w:val="000000"/>
                <w:sz w:val="18"/>
                <w:szCs w:val="18"/>
              </w:rPr>
              <w:t>期初余额</w:t>
            </w:r>
          </w:p>
        </w:tc>
        <w:tc>
          <w:tcPr>
            <w:tcW w:w="771"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color w:val="000000"/>
                <w:sz w:val="18"/>
                <w:szCs w:val="18"/>
              </w:rPr>
              <w:t>本期新增补助金额</w:t>
            </w:r>
          </w:p>
        </w:tc>
        <w:tc>
          <w:tcPr>
            <w:tcW w:w="1147"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color w:val="000000"/>
                <w:sz w:val="18"/>
                <w:szCs w:val="18"/>
              </w:rPr>
              <w:t>本期计入营业外收入金额</w:t>
            </w:r>
          </w:p>
        </w:tc>
        <w:tc>
          <w:tcPr>
            <w:tcW w:w="1470" w:type="dxa"/>
            <w:tcBorders>
              <w:top w:val="single" w:sz="4" w:space="0" w:color="000000"/>
              <w:left w:val="single" w:sz="4" w:space="0" w:color="000000"/>
              <w:bottom w:val="single" w:sz="4" w:space="0" w:color="000000"/>
              <w:right w:val="single" w:sz="4" w:space="0" w:color="000000"/>
            </w:tcBorders>
            <w:shd w:val="clear" w:color="auto" w:fill="D3D3D3"/>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color w:val="000000"/>
                <w:sz w:val="18"/>
                <w:szCs w:val="18"/>
              </w:rPr>
              <w:t>本期计入其他收益金额</w:t>
            </w:r>
          </w:p>
        </w:tc>
        <w:tc>
          <w:tcPr>
            <w:tcW w:w="967"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color w:val="000000"/>
                <w:sz w:val="18"/>
                <w:szCs w:val="18"/>
              </w:rPr>
              <w:t>本期冲减成本费用金额</w:t>
            </w:r>
          </w:p>
        </w:tc>
        <w:tc>
          <w:tcPr>
            <w:tcW w:w="570"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hint="eastAsia"/>
                <w:color w:val="000000"/>
                <w:sz w:val="18"/>
                <w:szCs w:val="18"/>
              </w:rPr>
              <w:t>其他变动</w:t>
            </w:r>
          </w:p>
        </w:tc>
        <w:tc>
          <w:tcPr>
            <w:tcW w:w="1560"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hint="eastAsia"/>
                <w:color w:val="000000"/>
                <w:sz w:val="18"/>
                <w:szCs w:val="18"/>
              </w:rPr>
              <w:t>期末余额</w:t>
            </w:r>
          </w:p>
        </w:tc>
        <w:tc>
          <w:tcPr>
            <w:tcW w:w="1084"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与资产相关/与收益相关</w:t>
            </w:r>
          </w:p>
        </w:tc>
      </w:tr>
      <w:tr w:rsidR="00A57714" w:rsidRPr="00A57714" w:rsidTr="00A57714">
        <w:trPr>
          <w:divId w:val="371424788"/>
          <w:trHeight w:val="32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节能设备补贴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9,095,946.67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247,476.00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8,848,470.67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420"/>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新疆</w:t>
            </w:r>
            <w:proofErr w:type="gramStart"/>
            <w:r w:rsidRPr="00A57714">
              <w:rPr>
                <w:rFonts w:asciiTheme="minorEastAsia" w:hAnsiTheme="minorEastAsia" w:hint="eastAsia"/>
                <w:color w:val="000000"/>
                <w:sz w:val="18"/>
                <w:szCs w:val="18"/>
              </w:rPr>
              <w:t>六孚基础</w:t>
            </w:r>
            <w:proofErr w:type="gramEnd"/>
            <w:r w:rsidRPr="00A57714">
              <w:rPr>
                <w:rFonts w:asciiTheme="minorEastAsia" w:hAnsiTheme="minorEastAsia" w:hint="eastAsia"/>
                <w:color w:val="000000"/>
                <w:sz w:val="18"/>
                <w:szCs w:val="18"/>
              </w:rPr>
              <w:t>设施配套款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4,787,762.03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66,038.10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4,721,723.93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44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阿克苏华孚土地补贴款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5,014,664.48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66,713.95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4,900,252.18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44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阿克苏华孚产业技术改造资金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7,743,388.70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280,000.02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7,511,087.04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44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五家渠华孚色纱项目建设补助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615,884.88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10,900.02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604,984.86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44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新疆</w:t>
            </w:r>
            <w:proofErr w:type="gramStart"/>
            <w:r w:rsidRPr="00A57714">
              <w:rPr>
                <w:rFonts w:asciiTheme="minorEastAsia" w:hAnsiTheme="minorEastAsia" w:hint="eastAsia"/>
                <w:color w:val="000000"/>
                <w:sz w:val="18"/>
                <w:szCs w:val="18"/>
              </w:rPr>
              <w:t>六孚土地</w:t>
            </w:r>
            <w:proofErr w:type="gramEnd"/>
            <w:r w:rsidRPr="00A57714">
              <w:rPr>
                <w:rFonts w:asciiTheme="minorEastAsia" w:hAnsiTheme="minorEastAsia" w:hint="eastAsia"/>
                <w:color w:val="000000"/>
                <w:sz w:val="18"/>
                <w:szCs w:val="18"/>
              </w:rPr>
              <w:t>补贴款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877,449.68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114,051.12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763,398.56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32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九江中</w:t>
            </w:r>
            <w:proofErr w:type="gramStart"/>
            <w:r w:rsidRPr="00A57714">
              <w:rPr>
                <w:rFonts w:asciiTheme="minorEastAsia" w:hAnsiTheme="minorEastAsia" w:hint="eastAsia"/>
                <w:color w:val="000000"/>
                <w:sz w:val="18"/>
                <w:szCs w:val="18"/>
              </w:rPr>
              <w:t>浩</w:t>
            </w:r>
            <w:proofErr w:type="gramEnd"/>
            <w:r w:rsidRPr="00A57714">
              <w:rPr>
                <w:rFonts w:asciiTheme="minorEastAsia" w:hAnsiTheme="minorEastAsia" w:hint="eastAsia"/>
                <w:color w:val="000000"/>
                <w:sz w:val="18"/>
                <w:szCs w:val="18"/>
              </w:rPr>
              <w:t>支持重点承接地厂房建设款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540,000.00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18,000.00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522,000.00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44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阿克苏小商品</w:t>
            </w:r>
            <w:proofErr w:type="gramStart"/>
            <w:r w:rsidRPr="00A57714">
              <w:rPr>
                <w:rFonts w:asciiTheme="minorEastAsia" w:hAnsiTheme="minorEastAsia" w:hint="eastAsia"/>
                <w:color w:val="000000"/>
                <w:sz w:val="18"/>
                <w:szCs w:val="18"/>
              </w:rPr>
              <w:t>城设备</w:t>
            </w:r>
            <w:proofErr w:type="gramEnd"/>
            <w:r w:rsidRPr="00A57714">
              <w:rPr>
                <w:rFonts w:asciiTheme="minorEastAsia" w:hAnsiTheme="minorEastAsia" w:hint="eastAsia"/>
                <w:color w:val="000000"/>
                <w:sz w:val="18"/>
                <w:szCs w:val="18"/>
              </w:rPr>
              <w:t>补贴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5,848,719.96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338,670.00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5,510,049.96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44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阿克苏华孚</w:t>
            </w:r>
            <w:proofErr w:type="gramStart"/>
            <w:r w:rsidRPr="00A57714">
              <w:rPr>
                <w:rFonts w:asciiTheme="minorEastAsia" w:hAnsiTheme="minorEastAsia" w:hint="eastAsia"/>
                <w:color w:val="000000"/>
                <w:sz w:val="18"/>
                <w:szCs w:val="18"/>
              </w:rPr>
              <w:t>16万锭与设备</w:t>
            </w:r>
            <w:proofErr w:type="gramEnd"/>
            <w:r w:rsidRPr="00A57714">
              <w:rPr>
                <w:rFonts w:asciiTheme="minorEastAsia" w:hAnsiTheme="minorEastAsia" w:hint="eastAsia"/>
                <w:color w:val="000000"/>
                <w:sz w:val="18"/>
                <w:szCs w:val="18"/>
              </w:rPr>
              <w:t>补贴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1,102,500.06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72,692.28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1,029,807.78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32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jc w:val="both"/>
              <w:rPr>
                <w:rFonts w:asciiTheme="minorEastAsia" w:hAnsiTheme="minorEastAsia" w:cs="宋体"/>
                <w:color w:val="000000"/>
                <w:sz w:val="18"/>
                <w:szCs w:val="18"/>
              </w:rPr>
            </w:pPr>
            <w:r w:rsidRPr="00A57714">
              <w:rPr>
                <w:rFonts w:asciiTheme="minorEastAsia" w:hAnsiTheme="minorEastAsia" w:hint="eastAsia"/>
                <w:color w:val="000000"/>
                <w:sz w:val="18"/>
                <w:szCs w:val="18"/>
              </w:rPr>
              <w:t> 合计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35,626,316.46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   </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1,214,541.48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34,411,774.98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r>
    </w:tbl>
    <w:p w:rsidR="00037019" w:rsidRDefault="00BE788E">
      <w:pPr>
        <w:pStyle w:val="2"/>
        <w:spacing w:before="300" w:after="300" w:line="320" w:lineRule="exact"/>
        <w:rPr>
          <w:rFonts w:ascii="宋体" w:eastAsia="宋体" w:hAnsi="宋体" w:cs="宋体"/>
          <w:b/>
          <w:bCs/>
          <w:sz w:val="24"/>
          <w:szCs w:val="24"/>
        </w:rPr>
      </w:pPr>
      <w:bookmarkStart w:id="293" w:name="_Toc989341"/>
      <w:r>
        <w:rPr>
          <w:rFonts w:ascii="宋体" w:eastAsia="宋体" w:hAnsi="宋体" w:cs="宋体"/>
          <w:b/>
          <w:bCs/>
          <w:sz w:val="24"/>
          <w:szCs w:val="24"/>
        </w:rPr>
        <w:t>十二、与金融工具相关的风险</w:t>
      </w:r>
      <w:bookmarkEnd w:id="293"/>
    </w:p>
    <w:p w:rsidR="00037019" w:rsidRDefault="00BE788E">
      <w:pPr>
        <w:pStyle w:val="3"/>
        <w:spacing w:line="280" w:lineRule="exact"/>
        <w:jc w:val="left"/>
        <w:rPr>
          <w:rFonts w:ascii="宋体" w:hAnsi="宋体" w:cs="宋体"/>
          <w:b/>
          <w:bCs/>
        </w:rPr>
      </w:pPr>
      <w:bookmarkStart w:id="294" w:name="_Toc989342"/>
      <w:r>
        <w:rPr>
          <w:rFonts w:ascii="宋体" w:hAnsi="宋体" w:cs="宋体"/>
          <w:b/>
          <w:bCs/>
        </w:rPr>
        <w:t>1、金融工具产生的各类风险</w:t>
      </w:r>
      <w:bookmarkEnd w:id="294"/>
    </w:p>
    <w:p w:rsidR="00BE788E" w:rsidRDefault="00BE788E" w:rsidP="00A57714">
      <w:pPr>
        <w:pStyle w:val="a3"/>
        <w:spacing w:before="0" w:beforeAutospacing="0" w:after="0" w:afterAutospacing="0"/>
        <w:ind w:firstLine="420"/>
        <w:jc w:val="both"/>
        <w:divId w:val="973487394"/>
      </w:pPr>
      <w:r>
        <w:rPr>
          <w:rFonts w:hint="eastAsia"/>
          <w:sz w:val="18"/>
          <w:szCs w:val="18"/>
        </w:rPr>
        <w:t>1.信用风险</w:t>
      </w:r>
    </w:p>
    <w:p w:rsidR="00BE788E" w:rsidRDefault="00BE788E" w:rsidP="00A57714">
      <w:pPr>
        <w:pStyle w:val="a3"/>
        <w:spacing w:before="0" w:beforeAutospacing="0" w:after="0" w:afterAutospacing="0"/>
        <w:ind w:firstLine="420"/>
        <w:jc w:val="both"/>
        <w:divId w:val="973487394"/>
      </w:pPr>
      <w:r>
        <w:rPr>
          <w:rFonts w:hint="eastAsia"/>
          <w:sz w:val="18"/>
          <w:szCs w:val="18"/>
        </w:rPr>
        <w:t>信用风险是指交易对手未能履行合同义务而导致本公司产生财务损失的风险，管理层已制定适当的信用政策，并且不断监察信用风险的敞口。</w:t>
      </w:r>
    </w:p>
    <w:p w:rsidR="00BE788E" w:rsidRDefault="00BE788E" w:rsidP="00A57714">
      <w:pPr>
        <w:pStyle w:val="a3"/>
        <w:spacing w:before="0" w:beforeAutospacing="0" w:after="0" w:afterAutospacing="0"/>
        <w:ind w:firstLine="420"/>
        <w:jc w:val="both"/>
        <w:divId w:val="973487394"/>
      </w:pPr>
      <w:r>
        <w:rPr>
          <w:rFonts w:hint="eastAsia"/>
          <w:sz w:val="18"/>
          <w:szCs w:val="18"/>
        </w:rPr>
        <w:t>本公司已采取政策只与信用良好的交易对手进行交易。另外，本公司基于对客户的财务状况、从第三方获取担保的可能性、信用记录及其它因素诸如目前市场状况等评估客户的信用资质并设置相应信用期。本公司对应收票据、应收账款余额及收回情况进行持续监控，对于信用记录不良的客户，本公司会采用书面催款、缩短信用期或取消信用期等方式，以确保本公司不致面临重大信用损失。此外，本公司于每个资产负债表日审核金融资产的回收情况，以确保相关金融资产计提了充分的预期信用损失准备。</w:t>
      </w:r>
    </w:p>
    <w:p w:rsidR="00BE788E" w:rsidRDefault="00BE788E" w:rsidP="00A57714">
      <w:pPr>
        <w:pStyle w:val="a3"/>
        <w:spacing w:before="0" w:beforeAutospacing="0" w:after="0" w:afterAutospacing="0"/>
        <w:ind w:firstLine="420"/>
        <w:jc w:val="both"/>
        <w:divId w:val="973487394"/>
      </w:pPr>
      <w:r>
        <w:rPr>
          <w:rFonts w:hint="eastAsia"/>
          <w:sz w:val="18"/>
          <w:szCs w:val="18"/>
        </w:rPr>
        <w:t>本公司其他金融资产包括货币资金、其他应收款、债权投资等，这些金融资产的信用风险源自于交易对手违约，最大信用风险敞口为资产负债表中每项金融资产的账面金额。除关联方及关联交易所载本公司</w:t>
      </w:r>
      <w:proofErr w:type="gramStart"/>
      <w:r>
        <w:rPr>
          <w:rFonts w:hint="eastAsia"/>
          <w:sz w:val="18"/>
          <w:szCs w:val="18"/>
        </w:rPr>
        <w:t>作出</w:t>
      </w:r>
      <w:proofErr w:type="gramEnd"/>
      <w:r>
        <w:rPr>
          <w:rFonts w:hint="eastAsia"/>
          <w:sz w:val="18"/>
          <w:szCs w:val="18"/>
        </w:rPr>
        <w:t>的财务担保外，本公司没有提供任何其他可能令本公司承受信用风险的担保。</w:t>
      </w:r>
    </w:p>
    <w:p w:rsidR="00BE788E" w:rsidRDefault="00BE788E" w:rsidP="00A57714">
      <w:pPr>
        <w:pStyle w:val="a3"/>
        <w:spacing w:before="0" w:beforeAutospacing="0" w:after="0" w:afterAutospacing="0"/>
        <w:ind w:firstLine="420"/>
        <w:jc w:val="both"/>
        <w:divId w:val="973487394"/>
      </w:pPr>
      <w:r>
        <w:rPr>
          <w:rFonts w:hint="eastAsia"/>
          <w:sz w:val="18"/>
          <w:szCs w:val="18"/>
        </w:rPr>
        <w:t>本公司持有的货币资金主要存放于国有控股银行和其他大中型商业银行等金融机构，管理层认为这些商业银行具备较高信誉和资产状况，不存在重大的信用风险，不会产生因对方单位违约而导致的任何重大损失。本公司的政策是根据各知名金融机构的市场信誉、经营规模及财务背景来控制存放当中的存款金额，以限制对任何单个金融机构的信用风险金额。</w:t>
      </w:r>
    </w:p>
    <w:p w:rsidR="00BE788E" w:rsidRDefault="00BE788E" w:rsidP="00A57714">
      <w:pPr>
        <w:pStyle w:val="a3"/>
        <w:spacing w:before="0" w:beforeAutospacing="0" w:after="0" w:afterAutospacing="0"/>
        <w:ind w:firstLine="420"/>
        <w:jc w:val="both"/>
        <w:divId w:val="973487394"/>
      </w:pPr>
      <w:r>
        <w:rPr>
          <w:rFonts w:hint="eastAsia"/>
          <w:sz w:val="18"/>
          <w:szCs w:val="18"/>
        </w:rPr>
        <w:t>作为本公司信用风险资产管理的一部分，本公司利用账龄来评估应收账款和其他应收款的减值损失。本公司的应收账款和其他应收</w:t>
      </w:r>
      <w:proofErr w:type="gramStart"/>
      <w:r>
        <w:rPr>
          <w:rFonts w:hint="eastAsia"/>
          <w:sz w:val="18"/>
          <w:szCs w:val="18"/>
        </w:rPr>
        <w:t>款涉及</w:t>
      </w:r>
      <w:proofErr w:type="gramEnd"/>
      <w:r>
        <w:rPr>
          <w:rFonts w:hint="eastAsia"/>
          <w:sz w:val="18"/>
          <w:szCs w:val="18"/>
        </w:rPr>
        <w:t>大量客户，账</w:t>
      </w:r>
      <w:proofErr w:type="gramStart"/>
      <w:r>
        <w:rPr>
          <w:rFonts w:hint="eastAsia"/>
          <w:sz w:val="18"/>
          <w:szCs w:val="18"/>
        </w:rPr>
        <w:t>龄信息</w:t>
      </w:r>
      <w:proofErr w:type="gramEnd"/>
      <w:r>
        <w:rPr>
          <w:rFonts w:hint="eastAsia"/>
          <w:sz w:val="18"/>
          <w:szCs w:val="18"/>
        </w:rPr>
        <w:t>可以反映这些客户对于应收账款和其他应收款的偿付能力和坏账风险。本公</w:t>
      </w:r>
      <w:r>
        <w:rPr>
          <w:rFonts w:hint="eastAsia"/>
          <w:sz w:val="18"/>
          <w:szCs w:val="18"/>
        </w:rPr>
        <w:lastRenderedPageBreak/>
        <w:t>司根据历史数据计算不同</w:t>
      </w:r>
      <w:proofErr w:type="gramStart"/>
      <w:r>
        <w:rPr>
          <w:rFonts w:hint="eastAsia"/>
          <w:sz w:val="18"/>
          <w:szCs w:val="18"/>
        </w:rPr>
        <w:t>账</w:t>
      </w:r>
      <w:proofErr w:type="gramEnd"/>
      <w:r>
        <w:rPr>
          <w:rFonts w:hint="eastAsia"/>
          <w:sz w:val="18"/>
          <w:szCs w:val="18"/>
        </w:rPr>
        <w:t>龄期间的历史实际坏账率，并考虑了当前及未来经济状况的预测，如国家</w:t>
      </w:r>
      <w:r>
        <w:rPr>
          <w:rFonts w:ascii="Times New Roman" w:hAnsi="Times New Roman" w:cs="Times New Roman"/>
          <w:sz w:val="18"/>
          <w:szCs w:val="18"/>
        </w:rPr>
        <w:t>GDP</w:t>
      </w:r>
      <w:r>
        <w:rPr>
          <w:rFonts w:hint="eastAsia"/>
          <w:sz w:val="18"/>
          <w:szCs w:val="18"/>
        </w:rPr>
        <w:t>增速、基建投资总额、国家货币政策等前瞻性信息进行调整得出预期损失率。对于长期应收款，本公司综合考虑结算期、合同约定付款期、债务人的财务状况和债务人所处行业的经济形势，并考虑上述前瞻性信息进行调整后对于预期信用损失进行合理评估。</w:t>
      </w:r>
    </w:p>
    <w:p w:rsidR="00BE788E" w:rsidRDefault="00BE788E">
      <w:pPr>
        <w:pStyle w:val="a3"/>
        <w:spacing w:before="0" w:beforeAutospacing="0" w:after="0" w:afterAutospacing="0" w:line="360" w:lineRule="auto"/>
        <w:ind w:firstLine="420"/>
        <w:jc w:val="both"/>
        <w:divId w:val="973487394"/>
      </w:pPr>
      <w:r>
        <w:rPr>
          <w:rFonts w:hint="eastAsia"/>
          <w:sz w:val="18"/>
          <w:szCs w:val="18"/>
        </w:rPr>
        <w:t>2.</w:t>
      </w:r>
      <w:r>
        <w:rPr>
          <w:rStyle w:val="15"/>
          <w:rFonts w:hint="eastAsia"/>
          <w:b/>
          <w:bCs/>
          <w:sz w:val="18"/>
          <w:szCs w:val="18"/>
        </w:rPr>
        <w:t>流动性风险</w:t>
      </w:r>
    </w:p>
    <w:p w:rsidR="00BE788E" w:rsidRPr="00A57714" w:rsidRDefault="00BE788E" w:rsidP="00A57714">
      <w:pPr>
        <w:pStyle w:val="a3"/>
        <w:spacing w:before="0" w:beforeAutospacing="0" w:after="0" w:afterAutospacing="0"/>
        <w:ind w:firstLine="420"/>
        <w:jc w:val="both"/>
        <w:divId w:val="973487394"/>
        <w:rPr>
          <w:sz w:val="18"/>
          <w:szCs w:val="18"/>
        </w:rPr>
      </w:pPr>
      <w:r>
        <w:rPr>
          <w:rFonts w:hint="eastAsia"/>
          <w:sz w:val="18"/>
          <w:szCs w:val="18"/>
        </w:rPr>
        <w:t>流动性风险是指本公司在履行以交付现金或其他金融资产的方式结算的义务时发生资金短缺的风险。本公司下属成员企业各自负责其现金流量预测。公司下属资金管理部门基于各成员企业的现金流量预测结果，在公司层面持续监控公司短期和长期的资金需求，以确保维持充裕的现金储备；同时持续监控是否符合借款协议的规定，从主要金融机构获得提供足够备用资金的承诺，以满足短期和长期的资金需求。此外，本公司与主要业务往来银行订立融资额度授信协议，为本公司履行与商业票据相关的义务提供支持。</w:t>
      </w:r>
    </w:p>
    <w:p w:rsidR="00BE788E" w:rsidRDefault="00BE788E">
      <w:pPr>
        <w:pStyle w:val="a3"/>
        <w:divId w:val="973487394"/>
        <w:rPr>
          <w:sz w:val="18"/>
          <w:szCs w:val="18"/>
        </w:rPr>
      </w:pPr>
      <w:r>
        <w:rPr>
          <w:rFonts w:hint="eastAsia"/>
          <w:sz w:val="18"/>
          <w:szCs w:val="18"/>
        </w:rPr>
        <w:t>   3.市场风险</w:t>
      </w:r>
    </w:p>
    <w:p w:rsidR="00BE788E" w:rsidRDefault="00BE788E" w:rsidP="00F34484">
      <w:pPr>
        <w:widowControl/>
        <w:numPr>
          <w:ilvl w:val="0"/>
          <w:numId w:val="108"/>
        </w:numPr>
        <w:spacing w:before="100" w:beforeAutospacing="1" w:after="100" w:afterAutospacing="1"/>
        <w:divId w:val="973487394"/>
        <w:rPr>
          <w:sz w:val="18"/>
          <w:szCs w:val="18"/>
        </w:rPr>
      </w:pPr>
      <w:r>
        <w:rPr>
          <w:rFonts w:hint="eastAsia"/>
          <w:sz w:val="18"/>
          <w:szCs w:val="18"/>
        </w:rPr>
        <w:t>汇率风险</w:t>
      </w:r>
    </w:p>
    <w:p w:rsidR="00BE788E" w:rsidRPr="00A57714" w:rsidRDefault="00BE788E" w:rsidP="00A57714">
      <w:pPr>
        <w:pStyle w:val="a3"/>
        <w:spacing w:before="0" w:beforeAutospacing="0" w:after="0" w:afterAutospacing="0"/>
        <w:ind w:firstLine="420"/>
        <w:jc w:val="both"/>
        <w:divId w:val="973487394"/>
        <w:rPr>
          <w:sz w:val="18"/>
          <w:szCs w:val="18"/>
        </w:rPr>
      </w:pPr>
      <w:r>
        <w:rPr>
          <w:rFonts w:hint="eastAsia"/>
          <w:sz w:val="18"/>
          <w:szCs w:val="18"/>
        </w:rPr>
        <w:t>本公司的主要经营位于中国境内，主要业务以人民币结算。但本公司已确认的外币资产和负债及未来的外币交易（外币资产和负债及外币交易的计价货币主要为美元、港币和越南盾）依然存在汇率风险。本公司资金管理部门负责监控公司外币交易和外币资产及负债的规模，以最大程度降低面临的汇率风险；为此，本公司可能会以签署远期外汇合约或货币互换合约来达到规避汇率风险的目的。</w:t>
      </w:r>
    </w:p>
    <w:p w:rsidR="00BE788E" w:rsidRDefault="00BE788E" w:rsidP="00F34484">
      <w:pPr>
        <w:widowControl/>
        <w:numPr>
          <w:ilvl w:val="0"/>
          <w:numId w:val="109"/>
        </w:numPr>
        <w:spacing w:before="100" w:beforeAutospacing="1" w:after="100" w:afterAutospacing="1"/>
        <w:divId w:val="973487394"/>
        <w:rPr>
          <w:sz w:val="18"/>
          <w:szCs w:val="18"/>
        </w:rPr>
      </w:pPr>
      <w:r>
        <w:rPr>
          <w:rFonts w:hint="eastAsia"/>
          <w:sz w:val="18"/>
          <w:szCs w:val="18"/>
        </w:rPr>
        <w:t>利率风险</w:t>
      </w:r>
    </w:p>
    <w:p w:rsidR="00BE788E" w:rsidRPr="00A57714" w:rsidRDefault="00BE788E" w:rsidP="00A57714">
      <w:pPr>
        <w:pStyle w:val="a3"/>
        <w:spacing w:before="0" w:beforeAutospacing="0" w:after="0" w:afterAutospacing="0"/>
        <w:ind w:firstLine="420"/>
        <w:jc w:val="both"/>
        <w:divId w:val="973487394"/>
        <w:rPr>
          <w:sz w:val="18"/>
          <w:szCs w:val="18"/>
        </w:rPr>
      </w:pPr>
      <w:r>
        <w:rPr>
          <w:rFonts w:hint="eastAsia"/>
          <w:sz w:val="18"/>
          <w:szCs w:val="18"/>
        </w:rPr>
        <w:t>本公司的利率风险主要产生于银行借款等。浮动利率的金融负债使本公司面临现金流量利率风险，固定利率的金融负债使本公司面临公允价值利率风险。本公司根据当时的市场环境来决定固定利率及浮动利率合同的相对比例。</w:t>
      </w:r>
    </w:p>
    <w:p w:rsidR="00BE788E" w:rsidRPr="00A57714" w:rsidRDefault="00BE788E" w:rsidP="00A57714">
      <w:pPr>
        <w:pStyle w:val="a3"/>
        <w:spacing w:before="0" w:beforeAutospacing="0" w:after="0" w:afterAutospacing="0"/>
        <w:ind w:firstLine="420"/>
        <w:jc w:val="both"/>
        <w:divId w:val="973487394"/>
        <w:rPr>
          <w:sz w:val="18"/>
          <w:szCs w:val="18"/>
        </w:rPr>
      </w:pPr>
      <w:r>
        <w:rPr>
          <w:rFonts w:hint="eastAsia"/>
          <w:sz w:val="18"/>
          <w:szCs w:val="18"/>
        </w:rPr>
        <w:t>本公司财务部门持续监控公司利率水平。利率上升会增加新增带息债务的成本以及本公司尚未付清的以浮动利率计息的带息债务的利息支出，并对本公司的财务业绩产生重大的不利影响，管理层会依据最新的市场状况及时做出调整，这些调整可能是融资结构和融资渠道的安排来降低利率风险。</w:t>
      </w:r>
    </w:p>
    <w:p w:rsidR="00BE788E" w:rsidRDefault="00BE788E" w:rsidP="00F34484">
      <w:pPr>
        <w:widowControl/>
        <w:numPr>
          <w:ilvl w:val="0"/>
          <w:numId w:val="110"/>
        </w:numPr>
        <w:spacing w:before="100" w:beforeAutospacing="1" w:after="100" w:afterAutospacing="1"/>
        <w:divId w:val="973487394"/>
        <w:rPr>
          <w:sz w:val="18"/>
          <w:szCs w:val="18"/>
        </w:rPr>
      </w:pPr>
      <w:r>
        <w:rPr>
          <w:rFonts w:hint="eastAsia"/>
          <w:sz w:val="18"/>
          <w:szCs w:val="18"/>
        </w:rPr>
        <w:t>价格风险</w:t>
      </w:r>
    </w:p>
    <w:p w:rsidR="00BE788E" w:rsidRPr="00A57714" w:rsidRDefault="00BE788E" w:rsidP="00A57714">
      <w:pPr>
        <w:pStyle w:val="a3"/>
        <w:spacing w:before="0" w:beforeAutospacing="0" w:after="0" w:afterAutospacing="0"/>
        <w:ind w:firstLine="420"/>
        <w:jc w:val="both"/>
        <w:divId w:val="973487394"/>
        <w:rPr>
          <w:sz w:val="18"/>
          <w:szCs w:val="18"/>
        </w:rPr>
      </w:pPr>
      <w:r>
        <w:rPr>
          <w:rFonts w:hint="eastAsia"/>
          <w:sz w:val="18"/>
          <w:szCs w:val="18"/>
        </w:rPr>
        <w:t>价格风险指汇率风险和利率风险以外的市场价格变动而发生波动的风险，主要源于商品价格、股票市场指数、权益工具价格以及其他风险变量的变化。</w:t>
      </w:r>
    </w:p>
    <w:p w:rsidR="00037019" w:rsidRDefault="00BE788E">
      <w:pPr>
        <w:pStyle w:val="3"/>
        <w:spacing w:line="280" w:lineRule="exact"/>
        <w:jc w:val="left"/>
        <w:rPr>
          <w:rFonts w:ascii="宋体" w:hAnsi="宋体" w:cs="宋体"/>
          <w:b/>
          <w:bCs/>
        </w:rPr>
      </w:pPr>
      <w:bookmarkStart w:id="295" w:name="_Toc989343"/>
      <w:r>
        <w:rPr>
          <w:rFonts w:ascii="宋体" w:hAnsi="宋体" w:cs="宋体"/>
          <w:b/>
          <w:bCs/>
        </w:rPr>
        <w:t>2、套期</w:t>
      </w:r>
      <w:bookmarkEnd w:id="295"/>
    </w:p>
    <w:p w:rsidR="00037019" w:rsidRDefault="00BE788E">
      <w:pPr>
        <w:keepNext/>
        <w:keepLines/>
        <w:spacing w:before="300" w:after="300" w:line="280" w:lineRule="exact"/>
        <w:outlineLvl w:val="4"/>
        <w:rPr>
          <w:rFonts w:ascii="宋体" w:eastAsia="宋体" w:hAnsi="宋体" w:cs="宋体"/>
          <w:b/>
          <w:bCs/>
          <w:sz w:val="18"/>
          <w:szCs w:val="18"/>
        </w:rPr>
      </w:pPr>
      <w:bookmarkStart w:id="296" w:name="_Toc989344"/>
      <w:r>
        <w:rPr>
          <w:rFonts w:ascii="宋体" w:eastAsia="宋体" w:hAnsi="宋体" w:cs="宋体"/>
          <w:b/>
          <w:bCs/>
          <w:sz w:val="18"/>
          <w:szCs w:val="18"/>
        </w:rPr>
        <w:t>（1） 公司开展套期业务进行风险管理</w:t>
      </w:r>
      <w:bookmarkEnd w:id="296"/>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4"/>
        <w:rPr>
          <w:rFonts w:ascii="宋体" w:eastAsia="宋体" w:hAnsi="宋体" w:cs="宋体"/>
          <w:b/>
          <w:bCs/>
          <w:sz w:val="18"/>
          <w:szCs w:val="18"/>
        </w:rPr>
      </w:pPr>
      <w:bookmarkStart w:id="297" w:name="_Toc989345"/>
      <w:r>
        <w:rPr>
          <w:rFonts w:ascii="宋体" w:eastAsia="宋体" w:hAnsi="宋体" w:cs="宋体"/>
          <w:b/>
          <w:bCs/>
          <w:sz w:val="18"/>
          <w:szCs w:val="18"/>
        </w:rPr>
        <w:t>（2） 公司开展符合条件套期业务并应用套期会计</w:t>
      </w:r>
      <w:bookmarkEnd w:id="297"/>
    </w:p>
    <w:p w:rsidR="00BE788E" w:rsidRPr="00223D69" w:rsidRDefault="00BE788E" w:rsidP="00223D6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223D69">
        <w:rPr>
          <w:rFonts w:ascii="宋体" w:eastAsia="宋体" w:hAnsi="宋体" w:cs="宋体" w:hint="eastAsia"/>
          <w:sz w:val="18"/>
          <w:szCs w:val="18"/>
        </w:rPr>
        <w:t>：</w:t>
      </w:r>
      <w:r w:rsidR="00223D69">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298" w:name="_Toc989346"/>
      <w:r>
        <w:rPr>
          <w:rFonts w:ascii="宋体" w:eastAsia="宋体" w:hAnsi="宋体" w:cs="宋体"/>
          <w:b/>
          <w:bCs/>
          <w:sz w:val="18"/>
          <w:szCs w:val="18"/>
        </w:rPr>
        <w:lastRenderedPageBreak/>
        <w:t>（3） 公司开展套期业务进行风险管理、预期能实现风险管理目标但未应用套期会计</w:t>
      </w:r>
      <w:bookmarkEnd w:id="298"/>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299" w:name="_Toc989347"/>
      <w:r>
        <w:rPr>
          <w:rFonts w:ascii="宋体" w:hAnsi="宋体" w:cs="宋体"/>
          <w:b/>
          <w:bCs/>
        </w:rPr>
        <w:t>3、金融资产</w:t>
      </w:r>
      <w:bookmarkEnd w:id="299"/>
    </w:p>
    <w:p w:rsidR="00037019" w:rsidRDefault="00BE788E">
      <w:pPr>
        <w:keepNext/>
        <w:keepLines/>
        <w:spacing w:before="300" w:after="300" w:line="280" w:lineRule="exact"/>
        <w:outlineLvl w:val="3"/>
        <w:rPr>
          <w:rFonts w:ascii="宋体" w:eastAsia="宋体" w:hAnsi="宋体" w:cs="宋体"/>
          <w:b/>
          <w:bCs/>
          <w:sz w:val="18"/>
          <w:szCs w:val="18"/>
        </w:rPr>
      </w:pPr>
      <w:bookmarkStart w:id="300" w:name="_Toc989348"/>
      <w:r>
        <w:rPr>
          <w:rFonts w:ascii="宋体" w:eastAsia="宋体" w:hAnsi="宋体" w:cs="宋体"/>
          <w:b/>
          <w:bCs/>
          <w:sz w:val="18"/>
          <w:szCs w:val="18"/>
        </w:rPr>
        <w:t>（1） 转移方式分类</w:t>
      </w:r>
      <w:bookmarkEnd w:id="300"/>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 w:val="18"/>
          <w:szCs w:val="18"/>
        </w:rPr>
      </w:pPr>
      <w:bookmarkStart w:id="301" w:name="_Toc989349"/>
      <w:r>
        <w:rPr>
          <w:rFonts w:ascii="宋体" w:eastAsia="宋体" w:hAnsi="宋体" w:cs="宋体"/>
          <w:b/>
          <w:bCs/>
          <w:sz w:val="18"/>
          <w:szCs w:val="18"/>
        </w:rPr>
        <w:t>（2） 因转移而终止确认的金融资产</w:t>
      </w:r>
      <w:bookmarkEnd w:id="30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 w:val="18"/>
          <w:szCs w:val="18"/>
        </w:rPr>
      </w:pPr>
      <w:bookmarkStart w:id="302" w:name="_Toc989350"/>
      <w:r>
        <w:rPr>
          <w:rFonts w:ascii="宋体" w:eastAsia="宋体" w:hAnsi="宋体" w:cs="宋体"/>
          <w:b/>
          <w:bCs/>
          <w:sz w:val="18"/>
          <w:szCs w:val="18"/>
        </w:rPr>
        <w:t>（3） 继续涉入的资产转移金融资产</w:t>
      </w:r>
      <w:bookmarkEnd w:id="30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223D69" w:rsidRDefault="00BE788E" w:rsidP="00223D6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223D69">
        <w:rPr>
          <w:rFonts w:ascii="宋体" w:eastAsia="宋体" w:hAnsi="宋体" w:cs="宋体" w:hint="eastAsia"/>
          <w:sz w:val="18"/>
          <w:szCs w:val="18"/>
        </w:rPr>
        <w:t>：</w:t>
      </w:r>
      <w:r w:rsidR="00223D69">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303" w:name="_Toc989351"/>
      <w:r>
        <w:rPr>
          <w:rFonts w:ascii="宋体" w:eastAsia="宋体" w:hAnsi="宋体" w:cs="宋体"/>
          <w:b/>
          <w:bCs/>
          <w:sz w:val="24"/>
          <w:szCs w:val="24"/>
        </w:rPr>
        <w:t>十三、公允价值的披露</w:t>
      </w:r>
      <w:bookmarkEnd w:id="303"/>
    </w:p>
    <w:p w:rsidR="00037019" w:rsidRDefault="00BE788E">
      <w:pPr>
        <w:pStyle w:val="3"/>
        <w:spacing w:line="280" w:lineRule="exact"/>
        <w:jc w:val="left"/>
        <w:rPr>
          <w:rFonts w:ascii="宋体" w:hAnsi="宋体" w:cs="宋体"/>
          <w:b/>
          <w:bCs/>
        </w:rPr>
      </w:pPr>
      <w:bookmarkStart w:id="304" w:name="_Toc989352"/>
      <w:r>
        <w:rPr>
          <w:rFonts w:ascii="宋体" w:hAnsi="宋体" w:cs="宋体"/>
          <w:b/>
          <w:bCs/>
        </w:rPr>
        <w:t>1、以公允价值计量的资产和负债的期末公允价值</w:t>
      </w:r>
      <w:bookmarkEnd w:id="30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7711"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期末公允价值</w:t>
            </w:r>
          </w:p>
        </w:tc>
      </w:tr>
      <w:tr w:rsidR="0003701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第一层次公允价值计量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第二层次公允价值计量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第三层次公允价值计量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（一）交易性金融资产</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126,689,973.15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104,805,877.96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231,495,851.11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（2）权益工具投资</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392,601.34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392,601.34</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（3）衍生金融资产</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126,297,371.81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126,297,371.81</w:t>
            </w:r>
          </w:p>
        </w:tc>
      </w:tr>
      <w:tr w:rsidR="00037019" w:rsidTr="00223D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银行理财产品</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62,678,650.92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62,678,650.92</w:t>
            </w:r>
          </w:p>
        </w:tc>
      </w:tr>
      <w:tr w:rsidR="00037019" w:rsidTr="00223D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信托基金</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42,127,227.04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42,127,227.04</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二、非持续的公允价值计量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037019" w:rsidRDefault="00BE788E">
      <w:pPr>
        <w:pStyle w:val="3"/>
        <w:spacing w:line="280" w:lineRule="exact"/>
        <w:jc w:val="left"/>
        <w:rPr>
          <w:rFonts w:ascii="宋体" w:hAnsi="宋体" w:cs="宋体"/>
          <w:b/>
          <w:bCs/>
        </w:rPr>
      </w:pPr>
      <w:bookmarkStart w:id="305" w:name="_Toc989353"/>
      <w:r>
        <w:rPr>
          <w:rFonts w:ascii="宋体" w:hAnsi="宋体" w:cs="宋体"/>
          <w:b/>
          <w:bCs/>
        </w:rPr>
        <w:t>2、持续和非持续第一层次公允价值计量项目市价的确定依据</w:t>
      </w:r>
      <w:bookmarkEnd w:id="305"/>
    </w:p>
    <w:p w:rsidR="00BE788E" w:rsidRDefault="00BE788E">
      <w:pPr>
        <w:pStyle w:val="a3"/>
        <w:divId w:val="1856336130"/>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06" w:name="_Toc989354"/>
      <w:r>
        <w:rPr>
          <w:rFonts w:ascii="宋体" w:hAnsi="宋体" w:cs="宋体"/>
          <w:b/>
          <w:bCs/>
        </w:rPr>
        <w:t>3、持续和非持续第二层次公允价值计量项目，采用的估值技术和重要参数的定性及定量信息</w:t>
      </w:r>
      <w:bookmarkEnd w:id="306"/>
    </w:p>
    <w:p w:rsidR="00BE788E" w:rsidRDefault="00BE788E">
      <w:pPr>
        <w:pStyle w:val="a3"/>
        <w:divId w:val="84306440"/>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07" w:name="_Toc989355"/>
      <w:r>
        <w:rPr>
          <w:rFonts w:ascii="宋体" w:hAnsi="宋体" w:cs="宋体"/>
          <w:b/>
          <w:bCs/>
        </w:rPr>
        <w:lastRenderedPageBreak/>
        <w:t>4、持续和非持续第三层次公允价值计量项目，采用的估值技术和重要参数的定性及定量信息</w:t>
      </w:r>
      <w:bookmarkEnd w:id="307"/>
    </w:p>
    <w:p w:rsidR="00BE788E" w:rsidRDefault="00BE788E">
      <w:pPr>
        <w:pStyle w:val="a3"/>
        <w:divId w:val="1584530771"/>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08" w:name="_Toc989356"/>
      <w:r>
        <w:rPr>
          <w:rFonts w:ascii="宋体" w:hAnsi="宋体" w:cs="宋体"/>
          <w:b/>
          <w:bCs/>
        </w:rPr>
        <w:t>5、持续的第三层次公允价值计量项目，期初与期末账面价值间的调节信息及不可观察参数敏感性分析</w:t>
      </w:r>
      <w:bookmarkEnd w:id="308"/>
    </w:p>
    <w:p w:rsidR="00BE788E" w:rsidRDefault="00BE788E">
      <w:pPr>
        <w:pStyle w:val="a3"/>
        <w:divId w:val="1008286204"/>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09" w:name="_Toc989357"/>
      <w:r>
        <w:rPr>
          <w:rFonts w:ascii="宋体" w:hAnsi="宋体" w:cs="宋体"/>
          <w:b/>
          <w:bCs/>
        </w:rPr>
        <w:t>6、持续的公允价值计量项目，本期内发生各层级之间转换的，转换的原因及确定转换时点的政策</w:t>
      </w:r>
      <w:bookmarkEnd w:id="309"/>
    </w:p>
    <w:p w:rsidR="00BE788E" w:rsidRDefault="00BE788E">
      <w:pPr>
        <w:pStyle w:val="a3"/>
        <w:divId w:val="200213941"/>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10" w:name="_Toc989358"/>
      <w:r>
        <w:rPr>
          <w:rFonts w:ascii="宋体" w:hAnsi="宋体" w:cs="宋体"/>
          <w:b/>
          <w:bCs/>
        </w:rPr>
        <w:t>7、本期内发生的估值技术变更及变更原因</w:t>
      </w:r>
      <w:bookmarkEnd w:id="310"/>
    </w:p>
    <w:p w:rsidR="00BE788E" w:rsidRDefault="00BE788E">
      <w:pPr>
        <w:pStyle w:val="a3"/>
        <w:divId w:val="2141799222"/>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11" w:name="_Toc989359"/>
      <w:r>
        <w:rPr>
          <w:rFonts w:ascii="宋体" w:hAnsi="宋体" w:cs="宋体"/>
          <w:b/>
          <w:bCs/>
        </w:rPr>
        <w:t>8、不以公允价值计量的金融资产和金融负债的公允价值情况</w:t>
      </w:r>
      <w:bookmarkEnd w:id="311"/>
    </w:p>
    <w:p w:rsidR="00BE788E" w:rsidRDefault="00BE788E">
      <w:pPr>
        <w:pStyle w:val="a3"/>
        <w:divId w:val="238297469"/>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12" w:name="_Toc989360"/>
      <w:r>
        <w:rPr>
          <w:rFonts w:ascii="宋体" w:hAnsi="宋体" w:cs="宋体"/>
          <w:b/>
          <w:bCs/>
        </w:rPr>
        <w:t>9、其他</w:t>
      </w:r>
      <w:bookmarkEnd w:id="312"/>
    </w:p>
    <w:p w:rsidR="00BE788E" w:rsidRDefault="00BE788E">
      <w:pPr>
        <w:pStyle w:val="a3"/>
        <w:divId w:val="945304559"/>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313" w:name="_Toc989361"/>
      <w:r>
        <w:rPr>
          <w:rFonts w:ascii="宋体" w:eastAsia="宋体" w:hAnsi="宋体" w:cs="宋体"/>
          <w:b/>
          <w:bCs/>
          <w:sz w:val="24"/>
          <w:szCs w:val="24"/>
        </w:rPr>
        <w:t>十四、关联方及关联交易</w:t>
      </w:r>
      <w:bookmarkEnd w:id="313"/>
    </w:p>
    <w:p w:rsidR="00037019" w:rsidRDefault="00BE788E">
      <w:pPr>
        <w:pStyle w:val="3"/>
        <w:spacing w:line="280" w:lineRule="exact"/>
        <w:jc w:val="left"/>
        <w:rPr>
          <w:rFonts w:ascii="宋体" w:hAnsi="宋体" w:cs="宋体"/>
          <w:b/>
          <w:bCs/>
        </w:rPr>
      </w:pPr>
      <w:bookmarkStart w:id="314" w:name="_Toc989362"/>
      <w:r>
        <w:rPr>
          <w:rFonts w:ascii="宋体" w:hAnsi="宋体" w:cs="宋体"/>
          <w:b/>
          <w:bCs/>
        </w:rPr>
        <w:t>1、本企业的母公司情况</w:t>
      </w:r>
      <w:bookmarkEnd w:id="314"/>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9"/>
        <w:gridCol w:w="850"/>
        <w:gridCol w:w="3402"/>
        <w:gridCol w:w="1214"/>
        <w:gridCol w:w="1607"/>
        <w:gridCol w:w="1607"/>
      </w:tblGrid>
      <w:tr w:rsidR="00037019" w:rsidTr="00223D69">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母公司名称</w:t>
            </w:r>
          </w:p>
        </w:tc>
        <w:tc>
          <w:tcPr>
            <w:tcW w:w="85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注册地</w:t>
            </w:r>
          </w:p>
        </w:tc>
        <w:tc>
          <w:tcPr>
            <w:tcW w:w="340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121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注册资本</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母公司对本企业的持股比例</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母公司对本企业的表决权比例</w:t>
            </w:r>
          </w:p>
        </w:tc>
      </w:tr>
      <w:tr w:rsidR="00037019" w:rsidTr="00223D69">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广东省</w:t>
            </w:r>
          </w:p>
        </w:tc>
        <w:tc>
          <w:tcPr>
            <w:tcW w:w="340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投资兴办实业(具体项目另行申报)；色纺纱、服装经营；纺织设备进出口业务；在合法取得的土地使用权范围内从事房地产开发、经营；计算机应用、软件开发。</w:t>
            </w:r>
          </w:p>
        </w:tc>
        <w:tc>
          <w:tcPr>
            <w:tcW w:w="1214" w:type="dxa"/>
            <w:tcBorders>
              <w:top w:val="single" w:sz="2" w:space="0" w:color="auto"/>
              <w:left w:val="single" w:sz="2" w:space="0" w:color="auto"/>
              <w:bottom w:val="single" w:sz="2" w:space="0" w:color="auto"/>
              <w:right w:val="single" w:sz="2" w:space="0" w:color="auto"/>
            </w:tcBorders>
            <w:vAlign w:val="center"/>
          </w:tcPr>
          <w:p w:rsidR="00037019" w:rsidRDefault="00BE788E" w:rsidP="00223D69">
            <w:pPr>
              <w:spacing w:line="240" w:lineRule="exact"/>
              <w:jc w:val="right"/>
              <w:rPr>
                <w:rFonts w:ascii="宋体" w:eastAsia="宋体" w:hAnsi="宋体" w:cs="宋体"/>
                <w:sz w:val="18"/>
                <w:szCs w:val="18"/>
              </w:rPr>
            </w:pPr>
            <w:r>
              <w:rPr>
                <w:rFonts w:ascii="宋体" w:eastAsia="宋体" w:hAnsi="宋体" w:cs="宋体"/>
                <w:sz w:val="18"/>
                <w:szCs w:val="18"/>
              </w:rPr>
              <w:t>41,300万元</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rsidP="00223D69">
            <w:pPr>
              <w:spacing w:line="240" w:lineRule="exact"/>
              <w:jc w:val="right"/>
              <w:rPr>
                <w:rFonts w:ascii="宋体" w:eastAsia="宋体" w:hAnsi="宋体" w:cs="宋体"/>
                <w:sz w:val="18"/>
                <w:szCs w:val="18"/>
              </w:rPr>
            </w:pPr>
            <w:r>
              <w:rPr>
                <w:rFonts w:ascii="宋体" w:eastAsia="宋体" w:hAnsi="宋体" w:cs="宋体"/>
                <w:sz w:val="18"/>
                <w:szCs w:val="18"/>
              </w:rPr>
              <w:t>29.50%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rsidP="00223D69">
            <w:pPr>
              <w:spacing w:line="240" w:lineRule="exact"/>
              <w:jc w:val="right"/>
              <w:rPr>
                <w:rFonts w:ascii="宋体" w:eastAsia="宋体" w:hAnsi="宋体" w:cs="宋体"/>
                <w:sz w:val="18"/>
                <w:szCs w:val="18"/>
              </w:rPr>
            </w:pPr>
            <w:r>
              <w:rPr>
                <w:rFonts w:ascii="宋体" w:eastAsia="宋体" w:hAnsi="宋体" w:cs="宋体"/>
                <w:sz w:val="18"/>
                <w:szCs w:val="18"/>
              </w:rPr>
              <w:t>29.50%</w:t>
            </w:r>
          </w:p>
        </w:tc>
      </w:tr>
    </w:tbl>
    <w:p w:rsidR="00BE788E" w:rsidRPr="00223D69" w:rsidRDefault="00BE788E" w:rsidP="00223D69">
      <w:pPr>
        <w:spacing w:before="100" w:after="100" w:line="240" w:lineRule="exact"/>
        <w:rPr>
          <w:rFonts w:ascii="宋体" w:eastAsia="宋体" w:hAnsi="宋体" w:cs="宋体"/>
          <w:sz w:val="18"/>
          <w:szCs w:val="18"/>
        </w:rPr>
      </w:pPr>
      <w:r>
        <w:rPr>
          <w:rFonts w:ascii="宋体" w:eastAsia="宋体" w:hAnsi="宋体" w:cs="宋体"/>
          <w:sz w:val="18"/>
          <w:szCs w:val="18"/>
        </w:rPr>
        <w:t>本企业的母公司情况的说明</w:t>
      </w:r>
      <w:r w:rsidR="00223D69">
        <w:rPr>
          <w:rFonts w:ascii="宋体" w:eastAsia="宋体" w:hAnsi="宋体" w:cs="宋体" w:hint="eastAsia"/>
          <w:sz w:val="18"/>
          <w:szCs w:val="18"/>
        </w:rPr>
        <w:t>：</w:t>
      </w:r>
      <w:r w:rsidR="00223D69">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本企业最终控制方是孙伟挺和陈玲芬。</w:t>
      </w:r>
    </w:p>
    <w:p w:rsidR="00BE788E" w:rsidRPr="00223D69" w:rsidRDefault="00BE788E" w:rsidP="00223D6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223D69">
        <w:rPr>
          <w:rFonts w:hint="eastAsia"/>
          <w:sz w:val="18"/>
          <w:szCs w:val="18"/>
        </w:rPr>
        <w:t>无</w:t>
      </w:r>
    </w:p>
    <w:p w:rsidR="00037019" w:rsidRDefault="00BE788E">
      <w:pPr>
        <w:pStyle w:val="3"/>
        <w:spacing w:line="280" w:lineRule="exact"/>
        <w:jc w:val="left"/>
        <w:rPr>
          <w:rFonts w:ascii="宋体" w:hAnsi="宋体" w:cs="宋体"/>
          <w:b/>
          <w:bCs/>
        </w:rPr>
      </w:pPr>
      <w:bookmarkStart w:id="315" w:name="_Toc989363"/>
      <w:r>
        <w:rPr>
          <w:rFonts w:ascii="宋体" w:hAnsi="宋体" w:cs="宋体"/>
          <w:b/>
          <w:bCs/>
        </w:rPr>
        <w:t>2、本企业的子公司情况</w:t>
      </w:r>
      <w:bookmarkEnd w:id="315"/>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本企业子公司的情况详见附注十</w:t>
      </w:r>
      <w:proofErr w:type="gramStart"/>
      <w:r>
        <w:rPr>
          <w:rFonts w:ascii="宋体" w:eastAsia="宋体" w:hAnsi="宋体" w:cs="宋体"/>
          <w:sz w:val="18"/>
          <w:szCs w:val="18"/>
        </w:rPr>
        <w:t>1</w:t>
      </w:r>
      <w:proofErr w:type="gramEnd"/>
      <w:r>
        <w:rPr>
          <w:rFonts w:ascii="宋体" w:eastAsia="宋体" w:hAnsi="宋体" w:cs="宋体"/>
          <w:sz w:val="18"/>
          <w:szCs w:val="18"/>
        </w:rPr>
        <w:t>.在子公司中的权益。</w:t>
      </w:r>
    </w:p>
    <w:p w:rsidR="00037019" w:rsidRDefault="00BE788E">
      <w:pPr>
        <w:pStyle w:val="3"/>
        <w:spacing w:line="280" w:lineRule="exact"/>
        <w:jc w:val="left"/>
        <w:rPr>
          <w:rFonts w:ascii="宋体" w:hAnsi="宋体" w:cs="宋体"/>
          <w:b/>
          <w:bCs/>
        </w:rPr>
      </w:pPr>
      <w:bookmarkStart w:id="316" w:name="_Toc989364"/>
      <w:r>
        <w:rPr>
          <w:rFonts w:ascii="宋体" w:hAnsi="宋体" w:cs="宋体"/>
          <w:b/>
          <w:bCs/>
        </w:rPr>
        <w:t>3、本企业合营和联营企业情况</w:t>
      </w:r>
      <w:bookmarkEnd w:id="316"/>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本企业重要的合营或联营企业详见</w:t>
      </w:r>
      <w:proofErr w:type="gramStart"/>
      <w:r>
        <w:rPr>
          <w:rFonts w:ascii="宋体" w:eastAsia="宋体" w:hAnsi="宋体" w:cs="宋体"/>
          <w:sz w:val="18"/>
          <w:szCs w:val="18"/>
        </w:rPr>
        <w:t>附注附注</w:t>
      </w:r>
      <w:proofErr w:type="gramEnd"/>
      <w:r>
        <w:rPr>
          <w:rFonts w:ascii="宋体" w:eastAsia="宋体" w:hAnsi="宋体" w:cs="宋体"/>
          <w:sz w:val="18"/>
          <w:szCs w:val="18"/>
        </w:rPr>
        <w:t>七</w:t>
      </w:r>
      <w:proofErr w:type="gramStart"/>
      <w:r>
        <w:rPr>
          <w:rFonts w:ascii="宋体" w:eastAsia="宋体" w:hAnsi="宋体" w:cs="宋体"/>
          <w:sz w:val="18"/>
          <w:szCs w:val="18"/>
        </w:rPr>
        <w:t>18</w:t>
      </w:r>
      <w:proofErr w:type="gramEnd"/>
      <w:r>
        <w:rPr>
          <w:rFonts w:ascii="宋体" w:eastAsia="宋体" w:hAnsi="宋体" w:cs="宋体"/>
          <w:sz w:val="18"/>
          <w:szCs w:val="18"/>
        </w:rPr>
        <w:t>.长期股权投资。</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本期与本公司发生关联方交易，或前期与本公司发生关联方交易形成余额的其他合营或联营企业情况如下：</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合营或联营企业名称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与本企业关系</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福田实业（集团）有限公司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东莞沙田丽海纺织印染有限公司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江阴福汇纺织</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盐城福汇纺织</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汉盛有限公司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2023年11月28日前系本公司子公司联营企业</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浙江华孚网链投资管理有限公司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公司实际控制人孙伟挺在该公司担任董事</w:t>
            </w:r>
          </w:p>
        </w:tc>
      </w:tr>
    </w:tbl>
    <w:p w:rsidR="00BE788E" w:rsidRPr="00223D69" w:rsidRDefault="00BE788E" w:rsidP="00223D6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223D69">
        <w:rPr>
          <w:rFonts w:ascii="宋体" w:eastAsia="宋体" w:hAnsi="宋体" w:cs="宋体" w:hint="eastAsia"/>
          <w:sz w:val="18"/>
          <w:szCs w:val="18"/>
        </w:rPr>
        <w:t>：</w:t>
      </w:r>
      <w:r w:rsidR="00223D69">
        <w:rPr>
          <w:rFonts w:hint="eastAsia"/>
          <w:sz w:val="18"/>
          <w:szCs w:val="18"/>
        </w:rPr>
        <w:t>无</w:t>
      </w:r>
    </w:p>
    <w:p w:rsidR="00037019" w:rsidRDefault="00BE788E">
      <w:pPr>
        <w:pStyle w:val="3"/>
        <w:spacing w:line="280" w:lineRule="exact"/>
        <w:jc w:val="left"/>
        <w:rPr>
          <w:rFonts w:ascii="宋体" w:hAnsi="宋体" w:cs="宋体"/>
          <w:b/>
          <w:bCs/>
        </w:rPr>
      </w:pPr>
      <w:bookmarkStart w:id="317" w:name="_Toc989365"/>
      <w:r>
        <w:rPr>
          <w:rFonts w:ascii="宋体" w:hAnsi="宋体" w:cs="宋体"/>
          <w:b/>
          <w:bCs/>
        </w:rPr>
        <w:t>4、其他关联方情况</w:t>
      </w:r>
      <w:bookmarkEnd w:id="317"/>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其他关联方名称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其他关联方与本企业关系</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宁海华联纺织有限公司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宁海县华兴纺织原料有限公司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实际控制人控制的公司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余姚华联纺织有限公司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浙江万孚投资集团有限公司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安徽新一棉纺织有限公司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本公司股东、实际控制人控制的公司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浙江万孚物业管理</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安徽飞亚纺织集团有限公司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本公司股东、与本公司为同一控股股东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石河子国民村镇银行有限责任公司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本公司持有5%的股权</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上虞市华孚房地产开发有限公司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新疆恒孚棉产业集团有限公司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控股子公司少数股东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孙伟挺，陈玲芬，陈翰，刁英峰，高卫东，</w:t>
            </w:r>
            <w:r w:rsidR="0031624D">
              <w:rPr>
                <w:rFonts w:ascii="宋体" w:eastAsia="宋体" w:hAnsi="宋体" w:cs="宋体"/>
                <w:sz w:val="18"/>
                <w:szCs w:val="18"/>
              </w:rPr>
              <w:t>孔祥云，</w:t>
            </w:r>
            <w:r>
              <w:rPr>
                <w:rFonts w:ascii="宋体" w:eastAsia="宋体" w:hAnsi="宋体" w:cs="宋体"/>
                <w:sz w:val="18"/>
                <w:szCs w:val="18"/>
              </w:rPr>
              <w:t>黄亚英，程桂松，王国友，张正，盛永月，熊旭锋，宣刚江，宋海涛，</w:t>
            </w:r>
            <w:proofErr w:type="gramStart"/>
            <w:r>
              <w:rPr>
                <w:rFonts w:ascii="宋体" w:eastAsia="宋体" w:hAnsi="宋体" w:cs="宋体"/>
                <w:sz w:val="18"/>
                <w:szCs w:val="18"/>
              </w:rPr>
              <w:t>张际松</w:t>
            </w:r>
            <w:proofErr w:type="gramEnd"/>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本公司董事、监事及其他高级管理人员</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新疆纺织工业城有限公司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其他关联方</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淡安（江苏）健康产业有限公司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w:t>
            </w:r>
            <w:proofErr w:type="gramStart"/>
            <w:r>
              <w:rPr>
                <w:rFonts w:ascii="宋体" w:eastAsia="宋体" w:hAnsi="宋体" w:cs="宋体"/>
                <w:sz w:val="18"/>
                <w:szCs w:val="18"/>
              </w:rPr>
              <w:t>传澄文化</w:t>
            </w:r>
            <w:proofErr w:type="gramEnd"/>
            <w:r>
              <w:rPr>
                <w:rFonts w:ascii="宋体" w:eastAsia="宋体" w:hAnsi="宋体" w:cs="宋体"/>
                <w:sz w:val="18"/>
                <w:szCs w:val="18"/>
              </w:rPr>
              <w:t>传播有限公司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w:t>
            </w:r>
            <w:proofErr w:type="gramStart"/>
            <w:r>
              <w:rPr>
                <w:rFonts w:ascii="宋体" w:eastAsia="宋体" w:hAnsi="宋体" w:cs="宋体"/>
                <w:sz w:val="18"/>
                <w:szCs w:val="18"/>
              </w:rPr>
              <w:t>传澄供应</w:t>
            </w:r>
            <w:proofErr w:type="gramEnd"/>
            <w:r>
              <w:rPr>
                <w:rFonts w:ascii="宋体" w:eastAsia="宋体" w:hAnsi="宋体" w:cs="宋体"/>
                <w:sz w:val="18"/>
                <w:szCs w:val="18"/>
              </w:rPr>
              <w:t>链管理有限公司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市大澄企业管理</w:t>
            </w:r>
            <w:proofErr w:type="gramEnd"/>
            <w:r>
              <w:rPr>
                <w:rFonts w:ascii="宋体" w:eastAsia="宋体" w:hAnsi="宋体" w:cs="宋体"/>
                <w:sz w:val="18"/>
                <w:szCs w:val="18"/>
              </w:rPr>
              <w:t>合伙企业（有限合伙）</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吉安供应链管理淮安有限公司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持有子公司阿克苏银星物流有限公司20%股份</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2023年6月前系合并范围内子公司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2023年7月前系合并范围内子公司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新疆棉花产业（集团）叶城棉业有限责任公司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2023年8月前系合并范围内子公司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阿克苏地区华孚纺织职业培训学校</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安徽昊泰纺织有限公司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浙江万孚投资集团有限公司控股子公司，孙伟挺担任法定代表人</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2023年9月前系合并范围内子公司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钟耀栋、蔡姗妮</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控股子公司浙江</w:t>
            </w:r>
            <w:proofErr w:type="gramStart"/>
            <w:r>
              <w:rPr>
                <w:rFonts w:ascii="宋体" w:eastAsia="宋体" w:hAnsi="宋体" w:cs="宋体"/>
                <w:sz w:val="18"/>
                <w:szCs w:val="18"/>
              </w:rPr>
              <w:t>鲲驰小</w:t>
            </w:r>
            <w:proofErr w:type="gramEnd"/>
            <w:r>
              <w:rPr>
                <w:rFonts w:ascii="宋体" w:eastAsia="宋体" w:hAnsi="宋体" w:cs="宋体"/>
                <w:sz w:val="18"/>
                <w:szCs w:val="18"/>
              </w:rPr>
              <w:t>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2023年11月前系浙江鲲驰子公司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新疆生产建设兵团第七</w:t>
            </w:r>
            <w:proofErr w:type="gramStart"/>
            <w:r>
              <w:rPr>
                <w:rFonts w:ascii="宋体" w:eastAsia="宋体" w:hAnsi="宋体" w:cs="宋体"/>
                <w:sz w:val="18"/>
                <w:szCs w:val="18"/>
              </w:rPr>
              <w:t>师国有</w:t>
            </w:r>
            <w:proofErr w:type="gramEnd"/>
            <w:r>
              <w:rPr>
                <w:rFonts w:ascii="宋体" w:eastAsia="宋体" w:hAnsi="宋体" w:cs="宋体"/>
                <w:sz w:val="18"/>
                <w:szCs w:val="18"/>
              </w:rPr>
              <w:t>资本投资运营集团有限公司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2021年2月前系持有</w:t>
            </w:r>
            <w:proofErr w:type="gramStart"/>
            <w:r>
              <w:rPr>
                <w:rFonts w:ascii="宋体" w:eastAsia="宋体" w:hAnsi="宋体" w:cs="宋体"/>
                <w:sz w:val="18"/>
                <w:szCs w:val="18"/>
              </w:rPr>
              <w:t>奎屯锦孚</w:t>
            </w:r>
            <w:proofErr w:type="gramEnd"/>
            <w:r>
              <w:rPr>
                <w:rFonts w:ascii="宋体" w:eastAsia="宋体" w:hAnsi="宋体" w:cs="宋体"/>
                <w:sz w:val="18"/>
                <w:szCs w:val="18"/>
              </w:rPr>
              <w:t>33%的小股东</w:t>
            </w:r>
          </w:p>
        </w:tc>
      </w:tr>
    </w:tbl>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1624D">
        <w:rPr>
          <w:rFonts w:ascii="宋体" w:eastAsia="宋体" w:hAnsi="宋体" w:cs="宋体" w:hint="eastAsia"/>
          <w:sz w:val="18"/>
          <w:szCs w:val="18"/>
        </w:rPr>
        <w:t>：</w:t>
      </w:r>
      <w:r w:rsidR="0031624D">
        <w:rPr>
          <w:rFonts w:hint="eastAsia"/>
          <w:sz w:val="18"/>
          <w:szCs w:val="18"/>
        </w:rPr>
        <w:t>无</w:t>
      </w:r>
    </w:p>
    <w:p w:rsidR="00037019" w:rsidRDefault="00BE788E">
      <w:pPr>
        <w:pStyle w:val="3"/>
        <w:spacing w:line="280" w:lineRule="exact"/>
        <w:jc w:val="left"/>
        <w:rPr>
          <w:rFonts w:ascii="宋体" w:hAnsi="宋体" w:cs="宋体"/>
          <w:b/>
          <w:bCs/>
        </w:rPr>
      </w:pPr>
      <w:bookmarkStart w:id="318" w:name="_Toc989366"/>
      <w:r>
        <w:rPr>
          <w:rFonts w:ascii="宋体" w:hAnsi="宋体" w:cs="宋体"/>
          <w:b/>
          <w:bCs/>
        </w:rPr>
        <w:lastRenderedPageBreak/>
        <w:t>5、关联交易情况</w:t>
      </w:r>
      <w:bookmarkEnd w:id="318"/>
    </w:p>
    <w:p w:rsidR="00037019" w:rsidRDefault="00BE788E">
      <w:pPr>
        <w:keepNext/>
        <w:keepLines/>
        <w:spacing w:before="300" w:after="300" w:line="280" w:lineRule="exact"/>
        <w:outlineLvl w:val="3"/>
        <w:rPr>
          <w:rFonts w:ascii="宋体" w:eastAsia="宋体" w:hAnsi="宋体" w:cs="宋体"/>
          <w:b/>
          <w:bCs/>
          <w:szCs w:val="21"/>
        </w:rPr>
      </w:pPr>
      <w:bookmarkStart w:id="319" w:name="_Toc989367"/>
      <w:r>
        <w:rPr>
          <w:rFonts w:ascii="宋体" w:eastAsia="宋体" w:hAnsi="宋体" w:cs="宋体"/>
          <w:b/>
          <w:bCs/>
          <w:szCs w:val="21"/>
        </w:rPr>
        <w:t>（1） 购销商品、提供和接受劳务的关联交易</w:t>
      </w:r>
      <w:bookmarkEnd w:id="319"/>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采购商品/接受劳务情况表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获批的交易额度</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是否超过交易额度</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1624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采购棉花</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8,304,596.70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21,163,993.80</w:t>
            </w:r>
          </w:p>
        </w:tc>
      </w:tr>
      <w:tr w:rsidR="00037019" w:rsidTr="0031624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仓储物流服务</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72,064,214.33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150,000,000.00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73,889,791.53</w:t>
            </w:r>
          </w:p>
        </w:tc>
      </w:tr>
      <w:tr w:rsidR="00037019" w:rsidTr="0031624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物业费</w:t>
            </w:r>
            <w:proofErr w:type="gramEnd"/>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信息技术费</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956,531.44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spacing w:before="100" w:after="40" w:line="240" w:lineRule="exact"/>
        <w:rPr>
          <w:rFonts w:ascii="宋体" w:eastAsia="宋体" w:hAnsi="宋体" w:cs="宋体"/>
          <w:sz w:val="18"/>
          <w:szCs w:val="18"/>
        </w:rPr>
      </w:pPr>
      <w:r>
        <w:rPr>
          <w:rFonts w:ascii="宋体" w:eastAsia="宋体" w:hAnsi="宋体" w:cs="宋体"/>
          <w:sz w:val="18"/>
          <w:szCs w:val="18"/>
        </w:rPr>
        <w:t>出售商品/提供劳务情况表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27"/>
        <w:gridCol w:w="2137"/>
        <w:gridCol w:w="2137"/>
        <w:gridCol w:w="2138"/>
      </w:tblGrid>
      <w:tr w:rsidR="00037019" w:rsidTr="0031624D">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213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213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13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1624D">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213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销售纱线</w:t>
            </w:r>
          </w:p>
        </w:tc>
        <w:tc>
          <w:tcPr>
            <w:tcW w:w="213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1,234,691.36</w:t>
            </w:r>
          </w:p>
        </w:tc>
        <w:tc>
          <w:tcPr>
            <w:tcW w:w="213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213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销售纱线</w:t>
            </w:r>
          </w:p>
        </w:tc>
        <w:tc>
          <w:tcPr>
            <w:tcW w:w="213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214.72</w:t>
            </w:r>
          </w:p>
        </w:tc>
        <w:tc>
          <w:tcPr>
            <w:tcW w:w="213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购销商品、提供和接受劳务的关联交易说明</w:t>
      </w:r>
      <w:r w:rsidR="0031624D">
        <w:rPr>
          <w:rFonts w:ascii="宋体" w:eastAsia="宋体" w:hAnsi="宋体" w:cs="宋体" w:hint="eastAsia"/>
          <w:sz w:val="18"/>
          <w:szCs w:val="18"/>
        </w:rPr>
        <w:t>：</w:t>
      </w:r>
      <w:r w:rsidR="0031624D">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20" w:name="_Toc989368"/>
      <w:r>
        <w:rPr>
          <w:rFonts w:ascii="宋体" w:eastAsia="宋体" w:hAnsi="宋体" w:cs="宋体"/>
          <w:b/>
          <w:bCs/>
          <w:szCs w:val="21"/>
        </w:rPr>
        <w:t>（2） 关联受托管理/承包及委托管理/出包情况</w:t>
      </w:r>
      <w:bookmarkEnd w:id="320"/>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关联托管/承包情况说明</w:t>
      </w:r>
      <w:r w:rsidR="0031624D">
        <w:rPr>
          <w:rFonts w:ascii="宋体" w:eastAsia="宋体" w:hAnsi="宋体" w:cs="宋体" w:hint="eastAsia"/>
          <w:sz w:val="18"/>
          <w:szCs w:val="18"/>
        </w:rPr>
        <w:t>：</w:t>
      </w: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关联管理/出</w:t>
      </w:r>
      <w:proofErr w:type="gramStart"/>
      <w:r>
        <w:rPr>
          <w:rFonts w:ascii="宋体" w:eastAsia="宋体" w:hAnsi="宋体" w:cs="宋体"/>
          <w:sz w:val="18"/>
          <w:szCs w:val="18"/>
        </w:rPr>
        <w:t>包情况</w:t>
      </w:r>
      <w:proofErr w:type="gramEnd"/>
      <w:r>
        <w:rPr>
          <w:rFonts w:ascii="宋体" w:eastAsia="宋体" w:hAnsi="宋体" w:cs="宋体"/>
          <w:sz w:val="18"/>
          <w:szCs w:val="18"/>
        </w:rPr>
        <w:t>说明</w:t>
      </w:r>
      <w:r w:rsidR="0031624D">
        <w:rPr>
          <w:rFonts w:ascii="宋体" w:eastAsia="宋体" w:hAnsi="宋体" w:cs="宋体"/>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21" w:name="_Toc989369"/>
      <w:r>
        <w:rPr>
          <w:rFonts w:ascii="宋体" w:eastAsia="宋体" w:hAnsi="宋体" w:cs="宋体"/>
          <w:b/>
          <w:bCs/>
          <w:szCs w:val="21"/>
        </w:rPr>
        <w:t>（3） 关联租赁情况</w:t>
      </w:r>
      <w:bookmarkEnd w:id="321"/>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本公司作为出租方：</w:t>
      </w:r>
      <w:r w:rsidR="0031624D">
        <w:rPr>
          <w:rFonts w:ascii="宋体" w:eastAsia="宋体" w:hAnsi="宋体" w:cs="宋体"/>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22" w:name="_Toc989370"/>
      <w:r>
        <w:rPr>
          <w:rFonts w:ascii="宋体" w:eastAsia="宋体" w:hAnsi="宋体" w:cs="宋体"/>
          <w:b/>
          <w:bCs/>
          <w:szCs w:val="21"/>
        </w:rPr>
        <w:t>（4） 关联担保情况</w:t>
      </w:r>
      <w:bookmarkEnd w:id="322"/>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本公司作为担保方</w:t>
      </w:r>
      <w:r w:rsidR="0031624D">
        <w:rPr>
          <w:rFonts w:ascii="宋体" w:eastAsia="宋体" w:hAnsi="宋体" w:cs="宋体"/>
          <w:sz w:val="18"/>
          <w:szCs w:val="18"/>
        </w:rPr>
        <w:t>：无</w:t>
      </w:r>
    </w:p>
    <w:p w:rsidR="00037019" w:rsidRDefault="00BE788E">
      <w:pPr>
        <w:spacing w:before="100" w:after="40" w:line="240" w:lineRule="exact"/>
        <w:rPr>
          <w:rFonts w:ascii="宋体" w:eastAsia="宋体" w:hAnsi="宋体" w:cs="宋体"/>
          <w:sz w:val="18"/>
          <w:szCs w:val="18"/>
        </w:rPr>
      </w:pPr>
      <w:r>
        <w:rPr>
          <w:rFonts w:ascii="宋体" w:eastAsia="宋体" w:hAnsi="宋体" w:cs="宋体"/>
          <w:sz w:val="18"/>
          <w:szCs w:val="18"/>
        </w:rPr>
        <w:t>本公司作为被担保方</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担保方</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担保起始日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担保到期日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担保是否已经履行完毕</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34,550,000.00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2020年05月19日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2029年05月18日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2023年08月30日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2024年07月19日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2023年09月13日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2024年08月22日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2023年10月12日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2024年09月06日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2023年12月07日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2024年10月11日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2024年01月11日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2024年11月29日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2024年01月26日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2024年09月30日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49,010,000.00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2024年02月07日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2024年08月05日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50,990,000.00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2024年02月06日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2024年08月05日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2024年03月14日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2024年09月13日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2024年03月14日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2024年09月13日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2024年03月19日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2024年09月20日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18,500,000.00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2024年03月26日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2024年09月25日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2024年03月26日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2024年09月25日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66,500,000.00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2024年03月26日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2024年08月28日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2024年03月15日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2025年03月07日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12,656,000.00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2024年03月15日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2025年03月07日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2024年03月15日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2025年02月24日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37,344,000.00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2024年04月09日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2025年04月03日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2024年06月05日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2024年12月05日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2024年06月05日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2024年12月05日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2024年06月18日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2025年05月23日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2024年06月18日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2025年05月09日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99,400,000.00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2024年06月24日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2025年06月13日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bl>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关联担保情况说明</w:t>
      </w:r>
      <w:r w:rsidR="0031624D">
        <w:rPr>
          <w:rFonts w:ascii="宋体" w:eastAsia="宋体" w:hAnsi="宋体" w:cs="宋体" w:hint="eastAsia"/>
          <w:sz w:val="18"/>
          <w:szCs w:val="18"/>
        </w:rPr>
        <w:t>：</w:t>
      </w:r>
      <w:r w:rsidR="0031624D">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23" w:name="_Toc989371"/>
      <w:r>
        <w:rPr>
          <w:rFonts w:ascii="宋体" w:eastAsia="宋体" w:hAnsi="宋体" w:cs="宋体"/>
          <w:b/>
          <w:bCs/>
          <w:szCs w:val="21"/>
        </w:rPr>
        <w:t>（5） 关联方资金拆借</w:t>
      </w:r>
      <w:bookmarkEnd w:id="323"/>
    </w:p>
    <w:p w:rsidR="00037019" w:rsidRDefault="00BE788E">
      <w:pPr>
        <w:keepNext/>
        <w:keepLines/>
        <w:spacing w:before="300" w:after="300" w:line="280" w:lineRule="exact"/>
        <w:outlineLvl w:val="3"/>
        <w:rPr>
          <w:rFonts w:ascii="宋体" w:eastAsia="宋体" w:hAnsi="宋体" w:cs="宋体"/>
          <w:b/>
          <w:bCs/>
          <w:szCs w:val="21"/>
        </w:rPr>
      </w:pPr>
      <w:bookmarkStart w:id="324" w:name="_Toc989372"/>
      <w:r>
        <w:rPr>
          <w:rFonts w:ascii="宋体" w:eastAsia="宋体" w:hAnsi="宋体" w:cs="宋体"/>
          <w:b/>
          <w:bCs/>
          <w:szCs w:val="21"/>
        </w:rPr>
        <w:t>（6） 关联方资产转让、债务重组情况</w:t>
      </w:r>
      <w:bookmarkEnd w:id="32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510"/>
        <w:gridCol w:w="2268"/>
        <w:gridCol w:w="2268"/>
        <w:gridCol w:w="1593"/>
      </w:tblGrid>
      <w:tr w:rsidR="00037019" w:rsidTr="0031624D">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22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22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5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1624D">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绍兴市上虞区华孚房地产开发有限公司</w:t>
            </w:r>
          </w:p>
        </w:tc>
        <w:tc>
          <w:tcPr>
            <w:tcW w:w="22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出售房屋</w:t>
            </w:r>
          </w:p>
        </w:tc>
        <w:tc>
          <w:tcPr>
            <w:tcW w:w="22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7,182,016.50</w:t>
            </w: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keepNext/>
        <w:keepLines/>
        <w:spacing w:before="300" w:after="300" w:line="280" w:lineRule="exact"/>
        <w:outlineLvl w:val="3"/>
        <w:rPr>
          <w:rFonts w:ascii="宋体" w:eastAsia="宋体" w:hAnsi="宋体" w:cs="宋体"/>
          <w:b/>
          <w:bCs/>
          <w:szCs w:val="21"/>
        </w:rPr>
      </w:pPr>
      <w:bookmarkStart w:id="325" w:name="_Toc989373"/>
      <w:r>
        <w:rPr>
          <w:rFonts w:ascii="宋体" w:eastAsia="宋体" w:hAnsi="宋体" w:cs="宋体"/>
          <w:b/>
          <w:bCs/>
          <w:szCs w:val="21"/>
        </w:rPr>
        <w:t>（7） 关键管理人员报酬</w:t>
      </w:r>
      <w:bookmarkEnd w:id="325"/>
    </w:p>
    <w:p w:rsidR="00037019" w:rsidRDefault="00BE788E">
      <w:pPr>
        <w:keepNext/>
        <w:keepLines/>
        <w:spacing w:before="300" w:after="300" w:line="280" w:lineRule="exact"/>
        <w:outlineLvl w:val="3"/>
        <w:rPr>
          <w:rFonts w:ascii="宋体" w:eastAsia="宋体" w:hAnsi="宋体" w:cs="宋体"/>
          <w:b/>
          <w:bCs/>
          <w:szCs w:val="21"/>
        </w:rPr>
      </w:pPr>
      <w:bookmarkStart w:id="326" w:name="_Toc989374"/>
      <w:r>
        <w:rPr>
          <w:rFonts w:ascii="宋体" w:eastAsia="宋体" w:hAnsi="宋体" w:cs="宋体"/>
          <w:b/>
          <w:bCs/>
          <w:szCs w:val="21"/>
        </w:rPr>
        <w:t>（8） 其他关联交易</w:t>
      </w:r>
      <w:bookmarkEnd w:id="326"/>
    </w:p>
    <w:tbl>
      <w:tblPr>
        <w:tblW w:w="9640" w:type="dxa"/>
        <w:tblInd w:w="-132" w:type="dxa"/>
        <w:tblCellMar>
          <w:left w:w="0" w:type="dxa"/>
          <w:right w:w="0" w:type="dxa"/>
        </w:tblCellMar>
        <w:tblLook w:val="04A0" w:firstRow="1" w:lastRow="0" w:firstColumn="1" w:lastColumn="0" w:noHBand="0" w:noVBand="1"/>
      </w:tblPr>
      <w:tblGrid>
        <w:gridCol w:w="2744"/>
        <w:gridCol w:w="3058"/>
        <w:gridCol w:w="1762"/>
        <w:gridCol w:w="2076"/>
      </w:tblGrid>
      <w:tr w:rsidR="00BE788E" w:rsidTr="0031624D">
        <w:trPr>
          <w:divId w:val="740516870"/>
          <w:trHeight w:val="402"/>
        </w:trPr>
        <w:tc>
          <w:tcPr>
            <w:tcW w:w="2744" w:type="dxa"/>
            <w:tcBorders>
              <w:top w:val="single" w:sz="8" w:space="0" w:color="auto"/>
              <w:left w:val="single" w:sz="8" w:space="0" w:color="auto"/>
              <w:bottom w:val="single" w:sz="8" w:space="0" w:color="auto"/>
              <w:right w:val="single" w:sz="8" w:space="0" w:color="auto"/>
            </w:tcBorders>
            <w:shd w:val="clear" w:color="auto" w:fill="D3D3D3"/>
            <w:vAlign w:val="center"/>
            <w:hideMark/>
          </w:tcPr>
          <w:p w:rsidR="00BE788E" w:rsidRDefault="00BE788E">
            <w:pPr>
              <w:jc w:val="center"/>
              <w:rPr>
                <w:rFonts w:ascii="宋体" w:eastAsia="宋体" w:hAnsi="宋体" w:cs="宋体"/>
                <w:sz w:val="18"/>
                <w:szCs w:val="18"/>
              </w:rPr>
            </w:pPr>
            <w:r>
              <w:rPr>
                <w:rFonts w:hint="eastAsia"/>
                <w:sz w:val="18"/>
                <w:szCs w:val="18"/>
              </w:rPr>
              <w:t>关联方</w:t>
            </w:r>
          </w:p>
        </w:tc>
        <w:tc>
          <w:tcPr>
            <w:tcW w:w="3058" w:type="dxa"/>
            <w:tcBorders>
              <w:top w:val="single" w:sz="8" w:space="0" w:color="auto"/>
              <w:left w:val="nil"/>
              <w:bottom w:val="single" w:sz="8" w:space="0" w:color="auto"/>
              <w:right w:val="single" w:sz="8" w:space="0" w:color="auto"/>
            </w:tcBorders>
            <w:shd w:val="clear" w:color="auto" w:fill="D3D3D3"/>
            <w:vAlign w:val="center"/>
            <w:hideMark/>
          </w:tcPr>
          <w:p w:rsidR="00BE788E" w:rsidRDefault="00BE788E">
            <w:pPr>
              <w:jc w:val="center"/>
              <w:rPr>
                <w:rFonts w:ascii="宋体" w:eastAsia="宋体" w:hAnsi="宋体" w:cs="宋体"/>
                <w:sz w:val="18"/>
                <w:szCs w:val="18"/>
              </w:rPr>
            </w:pPr>
            <w:r>
              <w:rPr>
                <w:rFonts w:hint="eastAsia"/>
                <w:sz w:val="18"/>
                <w:szCs w:val="18"/>
              </w:rPr>
              <w:t>关联交易内容</w:t>
            </w:r>
          </w:p>
        </w:tc>
        <w:tc>
          <w:tcPr>
            <w:tcW w:w="1762" w:type="dxa"/>
            <w:tcBorders>
              <w:top w:val="single" w:sz="8" w:space="0" w:color="auto"/>
              <w:left w:val="nil"/>
              <w:bottom w:val="single" w:sz="8" w:space="0" w:color="auto"/>
              <w:right w:val="single" w:sz="8" w:space="0" w:color="auto"/>
            </w:tcBorders>
            <w:shd w:val="clear" w:color="auto" w:fill="D3D3D3"/>
            <w:vAlign w:val="center"/>
            <w:hideMark/>
          </w:tcPr>
          <w:p w:rsidR="00BE788E" w:rsidRDefault="00BE788E">
            <w:pPr>
              <w:jc w:val="center"/>
              <w:rPr>
                <w:rFonts w:ascii="宋体" w:eastAsia="宋体" w:hAnsi="宋体" w:cs="宋体"/>
                <w:sz w:val="18"/>
                <w:szCs w:val="18"/>
              </w:rPr>
            </w:pPr>
            <w:r>
              <w:rPr>
                <w:rFonts w:hint="eastAsia"/>
                <w:sz w:val="18"/>
                <w:szCs w:val="18"/>
              </w:rPr>
              <w:t>本期发生额</w:t>
            </w:r>
          </w:p>
        </w:tc>
        <w:tc>
          <w:tcPr>
            <w:tcW w:w="2076" w:type="dxa"/>
            <w:tcBorders>
              <w:top w:val="single" w:sz="8" w:space="0" w:color="auto"/>
              <w:left w:val="nil"/>
              <w:bottom w:val="single" w:sz="8" w:space="0" w:color="auto"/>
              <w:right w:val="single" w:sz="8" w:space="0" w:color="auto"/>
            </w:tcBorders>
            <w:shd w:val="clear" w:color="auto" w:fill="D3D3D3"/>
            <w:vAlign w:val="center"/>
            <w:hideMark/>
          </w:tcPr>
          <w:p w:rsidR="00BE788E" w:rsidRDefault="00BE788E">
            <w:pPr>
              <w:jc w:val="center"/>
              <w:rPr>
                <w:rFonts w:ascii="宋体" w:eastAsia="宋体" w:hAnsi="宋体" w:cs="宋体"/>
                <w:sz w:val="18"/>
                <w:szCs w:val="18"/>
              </w:rPr>
            </w:pPr>
            <w:r>
              <w:rPr>
                <w:rFonts w:hint="eastAsia"/>
                <w:sz w:val="18"/>
                <w:szCs w:val="18"/>
              </w:rPr>
              <w:t>上期发生额</w:t>
            </w:r>
          </w:p>
        </w:tc>
      </w:tr>
      <w:tr w:rsidR="00BE788E" w:rsidTr="0031624D">
        <w:trPr>
          <w:divId w:val="740516870"/>
          <w:trHeight w:val="402"/>
        </w:trPr>
        <w:tc>
          <w:tcPr>
            <w:tcW w:w="2744" w:type="dxa"/>
            <w:tcBorders>
              <w:top w:val="single" w:sz="8" w:space="0" w:color="auto"/>
              <w:left w:val="single" w:sz="8" w:space="0" w:color="auto"/>
              <w:bottom w:val="single" w:sz="8" w:space="0" w:color="auto"/>
              <w:right w:val="single" w:sz="8" w:space="0" w:color="auto"/>
            </w:tcBorders>
            <w:shd w:val="clear" w:color="auto" w:fill="D3D3D3"/>
            <w:vAlign w:val="center"/>
            <w:hideMark/>
          </w:tcPr>
          <w:p w:rsidR="00BE788E" w:rsidRDefault="00BE788E">
            <w:pPr>
              <w:rPr>
                <w:rFonts w:ascii="宋体" w:eastAsia="宋体" w:hAnsi="宋体" w:cs="宋体"/>
                <w:sz w:val="18"/>
                <w:szCs w:val="18"/>
              </w:rPr>
            </w:pPr>
            <w:r>
              <w:rPr>
                <w:rFonts w:hint="eastAsia"/>
                <w:sz w:val="18"/>
                <w:szCs w:val="18"/>
              </w:rPr>
              <w:t>浙江华孚网链投资管理有限公司</w:t>
            </w:r>
          </w:p>
        </w:tc>
        <w:tc>
          <w:tcPr>
            <w:tcW w:w="3058" w:type="dxa"/>
            <w:tcBorders>
              <w:top w:val="nil"/>
              <w:left w:val="nil"/>
              <w:bottom w:val="single" w:sz="8" w:space="0" w:color="auto"/>
              <w:right w:val="single" w:sz="8" w:space="0" w:color="auto"/>
            </w:tcBorders>
            <w:shd w:val="clear" w:color="auto" w:fill="FFFFFF"/>
            <w:vAlign w:val="center"/>
            <w:hideMark/>
          </w:tcPr>
          <w:p w:rsidR="00BE788E" w:rsidRDefault="00BE788E">
            <w:pPr>
              <w:rPr>
                <w:rFonts w:ascii="宋体" w:eastAsia="宋体" w:hAnsi="宋体" w:cs="宋体"/>
                <w:sz w:val="18"/>
                <w:szCs w:val="18"/>
              </w:rPr>
            </w:pPr>
            <w:r>
              <w:rPr>
                <w:rFonts w:hint="eastAsia"/>
                <w:sz w:val="18"/>
                <w:szCs w:val="18"/>
              </w:rPr>
              <w:t>购买土地使用权及房屋建筑物</w:t>
            </w:r>
          </w:p>
        </w:tc>
        <w:tc>
          <w:tcPr>
            <w:tcW w:w="1762" w:type="dxa"/>
            <w:tcBorders>
              <w:top w:val="nil"/>
              <w:left w:val="nil"/>
              <w:bottom w:val="single" w:sz="8" w:space="0" w:color="auto"/>
              <w:right w:val="single" w:sz="8" w:space="0" w:color="auto"/>
            </w:tcBorders>
            <w:shd w:val="clear" w:color="auto" w:fill="FFFFFF"/>
            <w:vAlign w:val="center"/>
            <w:hideMark/>
          </w:tcPr>
          <w:p w:rsidR="00BE788E" w:rsidRDefault="00BE788E">
            <w:pPr>
              <w:jc w:val="right"/>
              <w:rPr>
                <w:rFonts w:ascii="Times New Roman" w:eastAsia="宋体" w:hAnsi="Times New Roman" w:cs="Times New Roman"/>
                <w:sz w:val="18"/>
                <w:szCs w:val="18"/>
              </w:rPr>
            </w:pPr>
            <w:r>
              <w:rPr>
                <w:rFonts w:ascii="Times New Roman" w:hAnsi="Times New Roman" w:cs="Times New Roman"/>
                <w:sz w:val="18"/>
                <w:szCs w:val="18"/>
              </w:rPr>
              <w:t>277,064,220.18</w:t>
            </w:r>
          </w:p>
        </w:tc>
        <w:tc>
          <w:tcPr>
            <w:tcW w:w="2076" w:type="dxa"/>
            <w:tcBorders>
              <w:top w:val="nil"/>
              <w:left w:val="nil"/>
              <w:bottom w:val="single" w:sz="8" w:space="0" w:color="auto"/>
              <w:right w:val="single" w:sz="8" w:space="0" w:color="auto"/>
            </w:tcBorders>
            <w:shd w:val="clear" w:color="auto" w:fill="FFFFFF"/>
            <w:vAlign w:val="center"/>
            <w:hideMark/>
          </w:tcPr>
          <w:p w:rsidR="00BE788E" w:rsidRDefault="00BE788E">
            <w:pPr>
              <w:jc w:val="right"/>
              <w:rPr>
                <w:rFonts w:ascii="Times New Roman" w:eastAsia="宋体" w:hAnsi="Times New Roman" w:cs="Times New Roman"/>
                <w:sz w:val="18"/>
                <w:szCs w:val="18"/>
              </w:rPr>
            </w:pPr>
            <w:r>
              <w:rPr>
                <w:rFonts w:ascii="Times New Roman" w:hAnsi="Times New Roman" w:cs="Times New Roman"/>
                <w:sz w:val="18"/>
                <w:szCs w:val="18"/>
              </w:rPr>
              <w:t>                                          -  </w:t>
            </w:r>
          </w:p>
        </w:tc>
      </w:tr>
    </w:tbl>
    <w:p w:rsidR="00037019" w:rsidRDefault="00BE788E">
      <w:pPr>
        <w:pStyle w:val="3"/>
        <w:spacing w:line="280" w:lineRule="exact"/>
        <w:jc w:val="left"/>
        <w:rPr>
          <w:rFonts w:ascii="宋体" w:hAnsi="宋体" w:cs="宋体"/>
          <w:b/>
          <w:bCs/>
        </w:rPr>
      </w:pPr>
      <w:bookmarkStart w:id="327" w:name="_Toc989375"/>
      <w:r>
        <w:rPr>
          <w:rFonts w:ascii="宋体" w:hAnsi="宋体" w:cs="宋体"/>
          <w:b/>
          <w:bCs/>
        </w:rPr>
        <w:t>6、关联方应收应付款项</w:t>
      </w:r>
      <w:bookmarkEnd w:id="327"/>
    </w:p>
    <w:p w:rsidR="00037019" w:rsidRDefault="00BE788E">
      <w:pPr>
        <w:keepNext/>
        <w:keepLines/>
        <w:spacing w:before="300" w:after="300" w:line="280" w:lineRule="exact"/>
        <w:outlineLvl w:val="3"/>
        <w:rPr>
          <w:rFonts w:ascii="宋体" w:eastAsia="宋体" w:hAnsi="宋体" w:cs="宋体"/>
          <w:b/>
          <w:bCs/>
          <w:szCs w:val="21"/>
        </w:rPr>
      </w:pPr>
      <w:bookmarkStart w:id="328" w:name="_Toc989376"/>
      <w:r>
        <w:rPr>
          <w:rFonts w:ascii="宋体" w:eastAsia="宋体" w:hAnsi="宋体" w:cs="宋体"/>
          <w:b/>
          <w:bCs/>
          <w:szCs w:val="21"/>
        </w:rPr>
        <w:t>（1） 应收项目</w:t>
      </w:r>
      <w:bookmarkEnd w:id="32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7"/>
        <w:gridCol w:w="1606"/>
        <w:gridCol w:w="1606"/>
        <w:gridCol w:w="1607"/>
        <w:gridCol w:w="1606"/>
        <w:gridCol w:w="1607"/>
      </w:tblGrid>
      <w:tr w:rsidR="00037019" w:rsidTr="0031624D">
        <w:trPr>
          <w:trHeight w:val="240"/>
        </w:trPr>
        <w:tc>
          <w:tcPr>
            <w:tcW w:w="160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31624D">
        <w:trPr>
          <w:trHeight w:val="240"/>
        </w:trPr>
        <w:tc>
          <w:tcPr>
            <w:tcW w:w="160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应收账款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112,963.97</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11,296.40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112,963.97</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11,296.40</w:t>
            </w: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182,000.00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9,100.00</w:t>
            </w: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绍兴市上虞区华孚房地产开发有限公司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1,584,562.00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79,228.10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预付账款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3,079,386.96</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江苏科孚纺织品</w:t>
            </w:r>
            <w:r>
              <w:rPr>
                <w:rFonts w:ascii="宋体" w:eastAsia="宋体" w:hAnsi="宋体" w:cs="宋体"/>
                <w:sz w:val="18"/>
                <w:szCs w:val="18"/>
              </w:rPr>
              <w:lastRenderedPageBreak/>
              <w:t>贸易有限公司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4,183,152.66</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1,589,181.72</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其他应收款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93,562.80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93,562.80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93,562.80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93,562.80</w:t>
            </w: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第七</w:t>
            </w:r>
            <w:proofErr w:type="gramStart"/>
            <w:r>
              <w:rPr>
                <w:rFonts w:ascii="宋体" w:eastAsia="宋体" w:hAnsi="宋体" w:cs="宋体"/>
                <w:sz w:val="18"/>
                <w:szCs w:val="18"/>
              </w:rPr>
              <w:t>师国有</w:t>
            </w:r>
            <w:proofErr w:type="gramEnd"/>
            <w:r>
              <w:rPr>
                <w:rFonts w:ascii="宋体" w:eastAsia="宋体" w:hAnsi="宋体" w:cs="宋体"/>
                <w:sz w:val="18"/>
                <w:szCs w:val="18"/>
              </w:rPr>
              <w:t>资产经营有限公司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371,904.51</w:t>
            </w: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电子商务有限公司及其子公司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21,918,666.28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7,073,971.96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21,963,897.78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7,078,495.11</w:t>
            </w: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321,151.93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16,057.60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新疆棉花产业（集团）叶城棉业有限责任公司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55,882.00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2,794.10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55,882.00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2,794.10</w:t>
            </w: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14,104.93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705.25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其他非流动资产</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浙江华孚网链投资管理有限公司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205,125,725.95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keepNext/>
        <w:keepLines/>
        <w:spacing w:before="300" w:after="300" w:line="280" w:lineRule="exact"/>
        <w:outlineLvl w:val="3"/>
        <w:rPr>
          <w:rFonts w:ascii="宋体" w:eastAsia="宋体" w:hAnsi="宋体" w:cs="宋体"/>
          <w:b/>
          <w:bCs/>
          <w:szCs w:val="21"/>
        </w:rPr>
      </w:pPr>
      <w:bookmarkStart w:id="329" w:name="_Toc989377"/>
      <w:r>
        <w:rPr>
          <w:rFonts w:ascii="宋体" w:eastAsia="宋体" w:hAnsi="宋体" w:cs="宋体"/>
          <w:b/>
          <w:bCs/>
          <w:szCs w:val="21"/>
        </w:rPr>
        <w:t>（2） 应付项目</w:t>
      </w:r>
      <w:bookmarkEnd w:id="32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68"/>
        <w:gridCol w:w="3151"/>
        <w:gridCol w:w="2410"/>
        <w:gridCol w:w="2410"/>
      </w:tblGrid>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315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应付账款</w:t>
            </w: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2,478,805.26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5,324,895.70</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浙江华孚网链投资管理有限公司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50,547,225.44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合同负债</w:t>
            </w: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15,485,619.45</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77,973.54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77,973.54</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吉安供应链管理淮安有限公司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98,325.00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100,507.00</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其他应付款</w:t>
            </w: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w:t>
            </w:r>
            <w:proofErr w:type="gramStart"/>
            <w:r>
              <w:rPr>
                <w:rFonts w:ascii="宋体" w:eastAsia="宋体" w:hAnsi="宋体" w:cs="宋体"/>
                <w:sz w:val="18"/>
                <w:szCs w:val="18"/>
              </w:rPr>
              <w:t>新润气流纺</w:t>
            </w:r>
            <w:proofErr w:type="gramEnd"/>
            <w:r>
              <w:rPr>
                <w:rFonts w:ascii="宋体" w:eastAsia="宋体" w:hAnsi="宋体" w:cs="宋体"/>
                <w:sz w:val="18"/>
                <w:szCs w:val="18"/>
              </w:rPr>
              <w:t>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516,959.12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517,275.12</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2,501,897.07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1,441,643.08</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钟耀栋</w:t>
            </w:r>
            <w:proofErr w:type="gramEnd"/>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1,539,654.00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1,539,654.00</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泽普棉业有限公司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197,975.45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197,975.45</w:t>
            </w:r>
          </w:p>
        </w:tc>
      </w:tr>
    </w:tbl>
    <w:p w:rsidR="00037019" w:rsidRDefault="00BE788E">
      <w:pPr>
        <w:pStyle w:val="3"/>
        <w:spacing w:line="280" w:lineRule="exact"/>
        <w:jc w:val="left"/>
        <w:rPr>
          <w:rFonts w:ascii="宋体" w:hAnsi="宋体" w:cs="宋体"/>
          <w:b/>
          <w:bCs/>
        </w:rPr>
      </w:pPr>
      <w:bookmarkStart w:id="330" w:name="_Toc989378"/>
      <w:r>
        <w:rPr>
          <w:rFonts w:ascii="宋体" w:hAnsi="宋体" w:cs="宋体"/>
          <w:b/>
          <w:bCs/>
        </w:rPr>
        <w:t>7、关联方承诺</w:t>
      </w:r>
      <w:bookmarkEnd w:id="330"/>
    </w:p>
    <w:p w:rsidR="00BE788E" w:rsidRDefault="0031624D">
      <w:pPr>
        <w:pStyle w:val="a3"/>
        <w:divId w:val="1451558784"/>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31" w:name="_Toc989379"/>
      <w:r>
        <w:rPr>
          <w:rFonts w:ascii="宋体" w:hAnsi="宋体" w:cs="宋体"/>
          <w:b/>
          <w:bCs/>
        </w:rPr>
        <w:t>8、其他</w:t>
      </w:r>
      <w:bookmarkEnd w:id="331"/>
    </w:p>
    <w:p w:rsidR="00BE788E" w:rsidRDefault="0031624D">
      <w:pPr>
        <w:pStyle w:val="a3"/>
        <w:divId w:val="1273054727"/>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332" w:name="_Toc989380"/>
      <w:r>
        <w:rPr>
          <w:rFonts w:ascii="宋体" w:eastAsia="宋体" w:hAnsi="宋体" w:cs="宋体"/>
          <w:b/>
          <w:bCs/>
          <w:sz w:val="24"/>
          <w:szCs w:val="24"/>
        </w:rPr>
        <w:t>十五、股份支付</w:t>
      </w:r>
      <w:bookmarkEnd w:id="332"/>
    </w:p>
    <w:p w:rsidR="00037019" w:rsidRDefault="00BE788E">
      <w:pPr>
        <w:pStyle w:val="3"/>
        <w:spacing w:line="280" w:lineRule="exact"/>
        <w:jc w:val="left"/>
        <w:rPr>
          <w:rFonts w:ascii="宋体" w:hAnsi="宋体" w:cs="宋体"/>
          <w:b/>
          <w:bCs/>
        </w:rPr>
      </w:pPr>
      <w:bookmarkStart w:id="333" w:name="_Toc989381"/>
      <w:r>
        <w:rPr>
          <w:rFonts w:ascii="宋体" w:hAnsi="宋体" w:cs="宋体"/>
          <w:b/>
          <w:bCs/>
        </w:rPr>
        <w:t>1、股份支付总体情况</w:t>
      </w:r>
      <w:bookmarkEnd w:id="333"/>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334" w:name="_Toc989382"/>
      <w:r>
        <w:rPr>
          <w:rFonts w:ascii="宋体" w:hAnsi="宋体" w:cs="宋体"/>
          <w:b/>
          <w:bCs/>
        </w:rPr>
        <w:t>2、以权益结算的股份支付情况</w:t>
      </w:r>
      <w:bookmarkEnd w:id="334"/>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335" w:name="_Toc989383"/>
      <w:r>
        <w:rPr>
          <w:rFonts w:ascii="宋体" w:hAnsi="宋体" w:cs="宋体"/>
          <w:b/>
          <w:bCs/>
        </w:rPr>
        <w:lastRenderedPageBreak/>
        <w:t>3、以现金结算的股份支付情况</w:t>
      </w:r>
      <w:bookmarkEnd w:id="335"/>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336" w:name="_Toc989384"/>
      <w:r>
        <w:rPr>
          <w:rFonts w:ascii="宋体" w:hAnsi="宋体" w:cs="宋体"/>
          <w:b/>
          <w:bCs/>
        </w:rPr>
        <w:t>4、本期股份支付费用</w:t>
      </w:r>
      <w:bookmarkEnd w:id="336"/>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337" w:name="_Toc989385"/>
      <w:r>
        <w:rPr>
          <w:rFonts w:ascii="宋体" w:hAnsi="宋体" w:cs="宋体"/>
          <w:b/>
          <w:bCs/>
        </w:rPr>
        <w:t>5、股份支付的修改、终止情况</w:t>
      </w:r>
      <w:bookmarkEnd w:id="337"/>
    </w:p>
    <w:p w:rsidR="00BE788E" w:rsidRDefault="00BE788E">
      <w:pPr>
        <w:pStyle w:val="a3"/>
        <w:divId w:val="585727373"/>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38" w:name="_Toc989386"/>
      <w:r>
        <w:rPr>
          <w:rFonts w:ascii="宋体" w:hAnsi="宋体" w:cs="宋体"/>
          <w:b/>
          <w:bCs/>
        </w:rPr>
        <w:t xml:space="preserve">6、其他 </w:t>
      </w:r>
      <w:bookmarkEnd w:id="338"/>
    </w:p>
    <w:p w:rsidR="00BE788E" w:rsidRDefault="00BE788E">
      <w:pPr>
        <w:pStyle w:val="a3"/>
        <w:divId w:val="932013962"/>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339" w:name="_Toc989387"/>
      <w:r>
        <w:rPr>
          <w:rFonts w:ascii="宋体" w:eastAsia="宋体" w:hAnsi="宋体" w:cs="宋体"/>
          <w:b/>
          <w:bCs/>
          <w:sz w:val="24"/>
          <w:szCs w:val="24"/>
        </w:rPr>
        <w:t>十六、承诺及或有事项</w:t>
      </w:r>
      <w:bookmarkEnd w:id="339"/>
    </w:p>
    <w:p w:rsidR="00037019" w:rsidRDefault="00BE788E">
      <w:pPr>
        <w:pStyle w:val="3"/>
        <w:spacing w:line="280" w:lineRule="exact"/>
        <w:jc w:val="left"/>
        <w:rPr>
          <w:rFonts w:ascii="宋体" w:hAnsi="宋体" w:cs="宋体"/>
          <w:b/>
          <w:bCs/>
        </w:rPr>
      </w:pPr>
      <w:bookmarkStart w:id="340" w:name="_Toc989388"/>
      <w:r>
        <w:rPr>
          <w:rFonts w:ascii="宋体" w:hAnsi="宋体" w:cs="宋体"/>
          <w:b/>
          <w:bCs/>
        </w:rPr>
        <w:t>1、重要承诺事项</w:t>
      </w:r>
      <w:bookmarkEnd w:id="340"/>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资产负债表</w:t>
      </w:r>
      <w:proofErr w:type="gramStart"/>
      <w:r>
        <w:rPr>
          <w:rFonts w:ascii="宋体" w:eastAsia="宋体" w:hAnsi="宋体" w:cs="宋体"/>
          <w:sz w:val="18"/>
          <w:szCs w:val="18"/>
        </w:rPr>
        <w:t>日存在</w:t>
      </w:r>
      <w:proofErr w:type="gramEnd"/>
      <w:r>
        <w:rPr>
          <w:rFonts w:ascii="宋体" w:eastAsia="宋体" w:hAnsi="宋体" w:cs="宋体"/>
          <w:sz w:val="18"/>
          <w:szCs w:val="18"/>
        </w:rPr>
        <w:t>的重要承诺</w:t>
      </w:r>
    </w:p>
    <w:p w:rsidR="00BE788E" w:rsidRDefault="00BE788E" w:rsidP="0031624D">
      <w:pPr>
        <w:pStyle w:val="a3"/>
        <w:spacing w:before="0" w:beforeAutospacing="0" w:after="0" w:afterAutospacing="0" w:line="360" w:lineRule="auto"/>
        <w:jc w:val="both"/>
        <w:divId w:val="1122764787"/>
      </w:pPr>
      <w:r>
        <w:rPr>
          <w:rFonts w:hint="eastAsia"/>
          <w:sz w:val="18"/>
          <w:szCs w:val="18"/>
        </w:rPr>
        <w:t>本公司不存在需要披露的重要或有事项。</w:t>
      </w:r>
    </w:p>
    <w:p w:rsidR="00037019" w:rsidRDefault="00BE788E">
      <w:pPr>
        <w:pStyle w:val="3"/>
        <w:spacing w:line="280" w:lineRule="exact"/>
        <w:jc w:val="left"/>
        <w:rPr>
          <w:rFonts w:ascii="宋体" w:hAnsi="宋体" w:cs="宋体"/>
          <w:b/>
          <w:bCs/>
        </w:rPr>
      </w:pPr>
      <w:bookmarkStart w:id="341" w:name="_Toc989389"/>
      <w:r>
        <w:rPr>
          <w:rFonts w:ascii="宋体" w:hAnsi="宋体" w:cs="宋体"/>
          <w:b/>
          <w:bCs/>
        </w:rPr>
        <w:t>2、或有事项</w:t>
      </w:r>
      <w:bookmarkEnd w:id="341"/>
    </w:p>
    <w:p w:rsidR="00037019" w:rsidRDefault="00BE788E">
      <w:pPr>
        <w:keepNext/>
        <w:keepLines/>
        <w:spacing w:before="300" w:after="300" w:line="280" w:lineRule="exact"/>
        <w:outlineLvl w:val="3"/>
        <w:rPr>
          <w:rFonts w:ascii="宋体" w:eastAsia="宋体" w:hAnsi="宋体" w:cs="宋体"/>
          <w:b/>
          <w:bCs/>
          <w:szCs w:val="21"/>
        </w:rPr>
      </w:pPr>
      <w:bookmarkStart w:id="342" w:name="_Toc989390"/>
      <w:r>
        <w:rPr>
          <w:rFonts w:ascii="宋体" w:eastAsia="宋体" w:hAnsi="宋体" w:cs="宋体"/>
          <w:b/>
          <w:bCs/>
          <w:szCs w:val="21"/>
        </w:rPr>
        <w:t>（1） 资产负债表</w:t>
      </w:r>
      <w:proofErr w:type="gramStart"/>
      <w:r>
        <w:rPr>
          <w:rFonts w:ascii="宋体" w:eastAsia="宋体" w:hAnsi="宋体" w:cs="宋体"/>
          <w:b/>
          <w:bCs/>
          <w:szCs w:val="21"/>
        </w:rPr>
        <w:t>日存在</w:t>
      </w:r>
      <w:proofErr w:type="gramEnd"/>
      <w:r>
        <w:rPr>
          <w:rFonts w:ascii="宋体" w:eastAsia="宋体" w:hAnsi="宋体" w:cs="宋体"/>
          <w:b/>
          <w:bCs/>
          <w:szCs w:val="21"/>
        </w:rPr>
        <w:t>的重要或有事项</w:t>
      </w:r>
      <w:bookmarkEnd w:id="342"/>
    </w:p>
    <w:p w:rsidR="00BE788E" w:rsidRDefault="00BE788E">
      <w:pPr>
        <w:pStyle w:val="a3"/>
        <w:spacing w:beforeAutospacing="0" w:afterAutospacing="0" w:line="240" w:lineRule="atLeast"/>
        <w:divId w:val="1845630450"/>
        <w:rPr>
          <w:rFonts w:ascii="Calibri" w:hAnsi="Calibri" w:cs="Calibri"/>
          <w:sz w:val="21"/>
          <w:szCs w:val="21"/>
        </w:rPr>
      </w:pPr>
      <w:r>
        <w:rPr>
          <w:rFonts w:cs="Calibri" w:hint="eastAsia"/>
          <w:sz w:val="18"/>
          <w:szCs w:val="18"/>
        </w:rPr>
        <w:t>公司不存在需要披露的重要或有事项。</w:t>
      </w:r>
    </w:p>
    <w:p w:rsidR="00037019" w:rsidRDefault="00BE788E">
      <w:pPr>
        <w:keepNext/>
        <w:keepLines/>
        <w:spacing w:before="300" w:after="300" w:line="280" w:lineRule="exact"/>
        <w:outlineLvl w:val="3"/>
        <w:rPr>
          <w:rFonts w:ascii="宋体" w:eastAsia="宋体" w:hAnsi="宋体" w:cs="宋体"/>
          <w:b/>
          <w:bCs/>
          <w:szCs w:val="21"/>
        </w:rPr>
      </w:pPr>
      <w:bookmarkStart w:id="343" w:name="_Toc989391"/>
      <w:r>
        <w:rPr>
          <w:rFonts w:ascii="宋体" w:eastAsia="宋体" w:hAnsi="宋体" w:cs="宋体"/>
          <w:b/>
          <w:bCs/>
          <w:szCs w:val="21"/>
        </w:rPr>
        <w:t>（2） 公司没有需要披露的重要或有事项，也应予以说明</w:t>
      </w:r>
      <w:bookmarkEnd w:id="343"/>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公司不存在需要披露的重要或有事项。</w:t>
      </w:r>
    </w:p>
    <w:p w:rsidR="00037019" w:rsidRDefault="00BE788E">
      <w:pPr>
        <w:pStyle w:val="3"/>
        <w:spacing w:line="280" w:lineRule="exact"/>
        <w:jc w:val="left"/>
        <w:rPr>
          <w:rFonts w:ascii="宋体" w:hAnsi="宋体" w:cs="宋体"/>
          <w:b/>
          <w:bCs/>
        </w:rPr>
      </w:pPr>
      <w:bookmarkStart w:id="344" w:name="_Toc989392"/>
      <w:r>
        <w:rPr>
          <w:rFonts w:ascii="宋体" w:hAnsi="宋体" w:cs="宋体"/>
          <w:b/>
          <w:bCs/>
        </w:rPr>
        <w:t>3、其他</w:t>
      </w:r>
      <w:bookmarkEnd w:id="344"/>
    </w:p>
    <w:p w:rsidR="00BE788E" w:rsidRDefault="00BE788E">
      <w:pPr>
        <w:pStyle w:val="a3"/>
        <w:divId w:val="35207124"/>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345" w:name="_Toc989393"/>
      <w:r>
        <w:rPr>
          <w:rFonts w:ascii="宋体" w:eastAsia="宋体" w:hAnsi="宋体" w:cs="宋体"/>
          <w:b/>
          <w:bCs/>
          <w:sz w:val="24"/>
          <w:szCs w:val="24"/>
        </w:rPr>
        <w:t>十七、资产负债表日后事项</w:t>
      </w:r>
      <w:bookmarkEnd w:id="345"/>
    </w:p>
    <w:p w:rsidR="00037019" w:rsidRDefault="00BE788E">
      <w:pPr>
        <w:pStyle w:val="3"/>
        <w:spacing w:line="280" w:lineRule="exact"/>
        <w:jc w:val="left"/>
        <w:rPr>
          <w:rFonts w:ascii="宋体" w:hAnsi="宋体" w:cs="宋体"/>
          <w:b/>
          <w:bCs/>
        </w:rPr>
      </w:pPr>
      <w:bookmarkStart w:id="346" w:name="_Toc989394"/>
      <w:r>
        <w:rPr>
          <w:rFonts w:ascii="宋体" w:hAnsi="宋体" w:cs="宋体"/>
          <w:b/>
          <w:bCs/>
        </w:rPr>
        <w:t>1、重要的非调整事项</w:t>
      </w:r>
      <w:bookmarkEnd w:id="346"/>
    </w:p>
    <w:p w:rsidR="00037019" w:rsidRDefault="00BE788E">
      <w:pPr>
        <w:pStyle w:val="3"/>
        <w:spacing w:line="280" w:lineRule="exact"/>
        <w:jc w:val="left"/>
        <w:rPr>
          <w:rFonts w:ascii="宋体" w:hAnsi="宋体" w:cs="宋体"/>
          <w:b/>
          <w:bCs/>
        </w:rPr>
      </w:pPr>
      <w:bookmarkStart w:id="347" w:name="_Toc989395"/>
      <w:r>
        <w:rPr>
          <w:rFonts w:ascii="宋体" w:hAnsi="宋体" w:cs="宋体"/>
          <w:b/>
          <w:bCs/>
        </w:rPr>
        <w:t>2、利润分配情况</w:t>
      </w:r>
      <w:bookmarkEnd w:id="347"/>
    </w:p>
    <w:p w:rsidR="00037019" w:rsidRDefault="00BE788E">
      <w:pPr>
        <w:pStyle w:val="3"/>
        <w:spacing w:line="280" w:lineRule="exact"/>
        <w:jc w:val="left"/>
        <w:rPr>
          <w:rFonts w:ascii="宋体" w:hAnsi="宋体" w:cs="宋体"/>
          <w:b/>
          <w:bCs/>
        </w:rPr>
      </w:pPr>
      <w:bookmarkStart w:id="348" w:name="_Toc989396"/>
      <w:r>
        <w:rPr>
          <w:rFonts w:ascii="宋体" w:hAnsi="宋体" w:cs="宋体"/>
          <w:b/>
          <w:bCs/>
        </w:rPr>
        <w:t>3、销售退回</w:t>
      </w:r>
      <w:bookmarkEnd w:id="348"/>
    </w:p>
    <w:p w:rsidR="00BE788E" w:rsidRDefault="00BE788E">
      <w:pPr>
        <w:pStyle w:val="a3"/>
        <w:divId w:val="1279096923"/>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49" w:name="_Toc989397"/>
      <w:r>
        <w:rPr>
          <w:rFonts w:ascii="宋体" w:hAnsi="宋体" w:cs="宋体"/>
          <w:b/>
          <w:bCs/>
        </w:rPr>
        <w:lastRenderedPageBreak/>
        <w:t>4、其他资产负债表日后事项说明</w:t>
      </w:r>
      <w:bookmarkEnd w:id="349"/>
    </w:p>
    <w:p w:rsidR="00BE788E" w:rsidRDefault="00BE788E">
      <w:pPr>
        <w:pStyle w:val="a3"/>
        <w:divId w:val="1457330926"/>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350" w:name="_Toc989398"/>
      <w:r>
        <w:rPr>
          <w:rFonts w:ascii="宋体" w:eastAsia="宋体" w:hAnsi="宋体" w:cs="宋体"/>
          <w:b/>
          <w:bCs/>
          <w:sz w:val="24"/>
          <w:szCs w:val="24"/>
        </w:rPr>
        <w:t>十八、其他重要事项</w:t>
      </w:r>
      <w:bookmarkEnd w:id="350"/>
    </w:p>
    <w:p w:rsidR="00037019" w:rsidRDefault="00BE788E">
      <w:pPr>
        <w:pStyle w:val="3"/>
        <w:spacing w:line="280" w:lineRule="exact"/>
        <w:jc w:val="left"/>
        <w:rPr>
          <w:rFonts w:ascii="宋体" w:hAnsi="宋体" w:cs="宋体"/>
          <w:b/>
          <w:bCs/>
        </w:rPr>
      </w:pPr>
      <w:bookmarkStart w:id="351" w:name="_Toc989399"/>
      <w:r>
        <w:rPr>
          <w:rFonts w:ascii="宋体" w:hAnsi="宋体" w:cs="宋体"/>
          <w:b/>
          <w:bCs/>
        </w:rPr>
        <w:t>1、前期会计差错更正</w:t>
      </w:r>
      <w:bookmarkEnd w:id="351"/>
    </w:p>
    <w:p w:rsidR="00037019" w:rsidRDefault="00BE788E">
      <w:pPr>
        <w:keepNext/>
        <w:keepLines/>
        <w:spacing w:before="300" w:after="300" w:line="280" w:lineRule="exact"/>
        <w:outlineLvl w:val="3"/>
        <w:rPr>
          <w:rFonts w:ascii="宋体" w:eastAsia="宋体" w:hAnsi="宋体" w:cs="宋体"/>
          <w:b/>
          <w:bCs/>
          <w:szCs w:val="21"/>
        </w:rPr>
      </w:pPr>
      <w:bookmarkStart w:id="352" w:name="_Toc989400"/>
      <w:r>
        <w:rPr>
          <w:rFonts w:ascii="宋体" w:eastAsia="宋体" w:hAnsi="宋体" w:cs="宋体"/>
          <w:b/>
          <w:bCs/>
          <w:szCs w:val="21"/>
        </w:rPr>
        <w:t>（1） 追溯重述法</w:t>
      </w:r>
      <w:bookmarkEnd w:id="352"/>
    </w:p>
    <w:p w:rsidR="00037019" w:rsidRDefault="00BE788E">
      <w:pPr>
        <w:keepNext/>
        <w:keepLines/>
        <w:spacing w:before="300" w:after="300" w:line="280" w:lineRule="exact"/>
        <w:outlineLvl w:val="3"/>
        <w:rPr>
          <w:rFonts w:ascii="宋体" w:eastAsia="宋体" w:hAnsi="宋体" w:cs="宋体"/>
          <w:b/>
          <w:bCs/>
          <w:szCs w:val="21"/>
        </w:rPr>
      </w:pPr>
      <w:bookmarkStart w:id="353" w:name="_Toc989401"/>
      <w:r>
        <w:rPr>
          <w:rFonts w:ascii="宋体" w:eastAsia="宋体" w:hAnsi="宋体" w:cs="宋体"/>
          <w:b/>
          <w:bCs/>
          <w:szCs w:val="21"/>
        </w:rPr>
        <w:t>（2） 未来适用法</w:t>
      </w:r>
      <w:bookmarkEnd w:id="353"/>
    </w:p>
    <w:p w:rsidR="00037019" w:rsidRDefault="00BE788E">
      <w:pPr>
        <w:pStyle w:val="3"/>
        <w:spacing w:line="280" w:lineRule="exact"/>
        <w:jc w:val="left"/>
        <w:rPr>
          <w:rFonts w:ascii="宋体" w:hAnsi="宋体" w:cs="宋体"/>
          <w:b/>
          <w:bCs/>
        </w:rPr>
      </w:pPr>
      <w:bookmarkStart w:id="354" w:name="_Toc989402"/>
      <w:r>
        <w:rPr>
          <w:rFonts w:ascii="宋体" w:hAnsi="宋体" w:cs="宋体"/>
          <w:b/>
          <w:bCs/>
        </w:rPr>
        <w:t>2、债务重组</w:t>
      </w:r>
      <w:bookmarkEnd w:id="354"/>
    </w:p>
    <w:p w:rsidR="00BE788E" w:rsidRDefault="00BE788E">
      <w:pPr>
        <w:pStyle w:val="a3"/>
        <w:divId w:val="622004317"/>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55" w:name="_Toc989403"/>
      <w:r>
        <w:rPr>
          <w:rFonts w:ascii="宋体" w:hAnsi="宋体" w:cs="宋体"/>
          <w:b/>
          <w:bCs/>
        </w:rPr>
        <w:t>3、资产置换</w:t>
      </w:r>
      <w:bookmarkEnd w:id="355"/>
    </w:p>
    <w:p w:rsidR="00037019" w:rsidRDefault="00BE788E">
      <w:pPr>
        <w:keepNext/>
        <w:keepLines/>
        <w:spacing w:before="300" w:after="300" w:line="280" w:lineRule="exact"/>
        <w:outlineLvl w:val="3"/>
        <w:rPr>
          <w:rFonts w:ascii="宋体" w:eastAsia="宋体" w:hAnsi="宋体" w:cs="宋体"/>
          <w:b/>
          <w:bCs/>
          <w:szCs w:val="21"/>
        </w:rPr>
      </w:pPr>
      <w:bookmarkStart w:id="356" w:name="_Toc989404"/>
      <w:r>
        <w:rPr>
          <w:rFonts w:ascii="宋体" w:eastAsia="宋体" w:hAnsi="宋体" w:cs="宋体"/>
          <w:b/>
          <w:bCs/>
          <w:szCs w:val="21"/>
        </w:rPr>
        <w:t>（1） 非货币性资产交换</w:t>
      </w:r>
      <w:bookmarkEnd w:id="356"/>
    </w:p>
    <w:p w:rsidR="00BE788E" w:rsidRDefault="00BE788E">
      <w:pPr>
        <w:pStyle w:val="a3"/>
        <w:divId w:val="1342665301"/>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57" w:name="_Toc989405"/>
      <w:r>
        <w:rPr>
          <w:rFonts w:ascii="宋体" w:eastAsia="宋体" w:hAnsi="宋体" w:cs="宋体"/>
          <w:b/>
          <w:bCs/>
          <w:szCs w:val="21"/>
        </w:rPr>
        <w:t>（2） 其他资产置换</w:t>
      </w:r>
      <w:bookmarkEnd w:id="357"/>
    </w:p>
    <w:p w:rsidR="00BE788E" w:rsidRDefault="00BE788E">
      <w:pPr>
        <w:pStyle w:val="a3"/>
        <w:divId w:val="1388843028"/>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58" w:name="_Toc989406"/>
      <w:r>
        <w:rPr>
          <w:rFonts w:ascii="宋体" w:hAnsi="宋体" w:cs="宋体"/>
          <w:b/>
          <w:bCs/>
        </w:rPr>
        <w:t>4、年金计划</w:t>
      </w:r>
      <w:bookmarkEnd w:id="358"/>
    </w:p>
    <w:p w:rsidR="00BE788E" w:rsidRDefault="00BE788E">
      <w:pPr>
        <w:pStyle w:val="a3"/>
        <w:divId w:val="1318921263"/>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59" w:name="_Toc989407"/>
      <w:r>
        <w:rPr>
          <w:rFonts w:ascii="宋体" w:hAnsi="宋体" w:cs="宋体"/>
          <w:b/>
          <w:bCs/>
        </w:rPr>
        <w:t>5、终止经营</w:t>
      </w:r>
      <w:bookmarkEnd w:id="359"/>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1624D">
        <w:rPr>
          <w:rFonts w:ascii="宋体" w:eastAsia="宋体" w:hAnsi="宋体" w:cs="宋体" w:hint="eastAsia"/>
          <w:sz w:val="18"/>
          <w:szCs w:val="18"/>
        </w:rPr>
        <w:t>：</w:t>
      </w:r>
      <w:r w:rsidR="0031624D">
        <w:rPr>
          <w:rFonts w:hint="eastAsia"/>
          <w:sz w:val="18"/>
          <w:szCs w:val="18"/>
        </w:rPr>
        <w:t>无</w:t>
      </w:r>
    </w:p>
    <w:p w:rsidR="00037019" w:rsidRDefault="00BE788E">
      <w:pPr>
        <w:pStyle w:val="3"/>
        <w:spacing w:line="280" w:lineRule="exact"/>
        <w:jc w:val="left"/>
        <w:rPr>
          <w:rFonts w:ascii="宋体" w:hAnsi="宋体" w:cs="宋体"/>
          <w:b/>
          <w:bCs/>
        </w:rPr>
      </w:pPr>
      <w:bookmarkStart w:id="360" w:name="_Toc989408"/>
      <w:r>
        <w:rPr>
          <w:rFonts w:ascii="宋体" w:hAnsi="宋体" w:cs="宋体"/>
          <w:b/>
          <w:bCs/>
        </w:rPr>
        <w:t>6、分部信息</w:t>
      </w:r>
      <w:bookmarkEnd w:id="360"/>
    </w:p>
    <w:p w:rsidR="00037019" w:rsidRDefault="00BE788E">
      <w:pPr>
        <w:keepNext/>
        <w:keepLines/>
        <w:spacing w:before="300" w:after="300" w:line="280" w:lineRule="exact"/>
        <w:outlineLvl w:val="3"/>
        <w:rPr>
          <w:rFonts w:ascii="宋体" w:eastAsia="宋体" w:hAnsi="宋体" w:cs="宋体"/>
          <w:b/>
          <w:bCs/>
          <w:szCs w:val="21"/>
        </w:rPr>
      </w:pPr>
      <w:bookmarkStart w:id="361" w:name="_Toc989409"/>
      <w:r>
        <w:rPr>
          <w:rFonts w:ascii="宋体" w:eastAsia="宋体" w:hAnsi="宋体" w:cs="宋体"/>
          <w:b/>
          <w:bCs/>
          <w:szCs w:val="21"/>
        </w:rPr>
        <w:t>（1） 报告分部的确定依据与会计政策</w:t>
      </w:r>
      <w:bookmarkEnd w:id="361"/>
    </w:p>
    <w:p w:rsidR="00BE788E" w:rsidRDefault="00BE788E">
      <w:pPr>
        <w:pStyle w:val="a3"/>
        <w:divId w:val="2059281587"/>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62" w:name="_Toc989410"/>
      <w:r>
        <w:rPr>
          <w:rFonts w:ascii="宋体" w:eastAsia="宋体" w:hAnsi="宋体" w:cs="宋体"/>
          <w:b/>
          <w:bCs/>
          <w:szCs w:val="21"/>
        </w:rPr>
        <w:t>（2） 报告分部的财务信息</w:t>
      </w:r>
      <w:bookmarkEnd w:id="362"/>
    </w:p>
    <w:p w:rsidR="00037019" w:rsidRDefault="00BE788E">
      <w:pPr>
        <w:keepNext/>
        <w:keepLines/>
        <w:spacing w:before="300" w:after="300" w:line="280" w:lineRule="exact"/>
        <w:outlineLvl w:val="3"/>
        <w:rPr>
          <w:rFonts w:ascii="宋体" w:eastAsia="宋体" w:hAnsi="宋体" w:cs="宋体"/>
          <w:b/>
          <w:bCs/>
          <w:szCs w:val="21"/>
        </w:rPr>
      </w:pPr>
      <w:bookmarkStart w:id="363" w:name="_Toc989411"/>
      <w:r>
        <w:rPr>
          <w:rFonts w:ascii="宋体" w:eastAsia="宋体" w:hAnsi="宋体" w:cs="宋体"/>
          <w:b/>
          <w:bCs/>
          <w:szCs w:val="21"/>
        </w:rPr>
        <w:t>（3） 公司</w:t>
      </w:r>
      <w:proofErr w:type="gramStart"/>
      <w:r>
        <w:rPr>
          <w:rFonts w:ascii="宋体" w:eastAsia="宋体" w:hAnsi="宋体" w:cs="宋体"/>
          <w:b/>
          <w:bCs/>
          <w:szCs w:val="21"/>
        </w:rPr>
        <w:t>无报告</w:t>
      </w:r>
      <w:proofErr w:type="gramEnd"/>
      <w:r>
        <w:rPr>
          <w:rFonts w:ascii="宋体" w:eastAsia="宋体" w:hAnsi="宋体" w:cs="宋体"/>
          <w:b/>
          <w:bCs/>
          <w:szCs w:val="21"/>
        </w:rPr>
        <w:t>分部的，或者不能披露各报告分部的资产总额和负债总额的，应说明原因</w:t>
      </w:r>
      <w:bookmarkEnd w:id="363"/>
    </w:p>
    <w:p w:rsidR="00BE788E" w:rsidRDefault="00BE788E">
      <w:pPr>
        <w:pStyle w:val="a3"/>
        <w:divId w:val="1894388933"/>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64" w:name="_Toc989412"/>
      <w:r>
        <w:rPr>
          <w:rFonts w:ascii="宋体" w:eastAsia="宋体" w:hAnsi="宋体" w:cs="宋体"/>
          <w:b/>
          <w:bCs/>
          <w:szCs w:val="21"/>
        </w:rPr>
        <w:lastRenderedPageBreak/>
        <w:t>（4） 其他说明</w:t>
      </w:r>
      <w:bookmarkEnd w:id="364"/>
    </w:p>
    <w:p w:rsidR="00BE788E" w:rsidRDefault="00BE788E">
      <w:pPr>
        <w:pStyle w:val="a3"/>
        <w:divId w:val="1581716910"/>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65" w:name="_Toc989413"/>
      <w:r>
        <w:rPr>
          <w:rFonts w:ascii="宋体" w:hAnsi="宋体" w:cs="宋体"/>
          <w:b/>
          <w:bCs/>
        </w:rPr>
        <w:t>7、其他对投资者决策有影响的重要交易和事项</w:t>
      </w:r>
      <w:bookmarkEnd w:id="365"/>
    </w:p>
    <w:p w:rsidR="00BE788E" w:rsidRDefault="00BE788E">
      <w:pPr>
        <w:pStyle w:val="a3"/>
        <w:divId w:val="818883497"/>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66" w:name="_Toc989414"/>
      <w:r>
        <w:rPr>
          <w:rFonts w:ascii="宋体" w:hAnsi="宋体" w:cs="宋体"/>
          <w:b/>
          <w:bCs/>
        </w:rPr>
        <w:t>8、其他</w:t>
      </w:r>
      <w:bookmarkEnd w:id="366"/>
    </w:p>
    <w:p w:rsidR="00BE788E" w:rsidRDefault="00BE788E">
      <w:pPr>
        <w:pStyle w:val="a3"/>
        <w:divId w:val="2044280207"/>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367" w:name="_Toc989415"/>
      <w:r>
        <w:rPr>
          <w:rFonts w:ascii="宋体" w:eastAsia="宋体" w:hAnsi="宋体" w:cs="宋体"/>
          <w:b/>
          <w:bCs/>
          <w:sz w:val="24"/>
          <w:szCs w:val="24"/>
        </w:rPr>
        <w:t>十九、母公司财务报表主要项目注释</w:t>
      </w:r>
      <w:bookmarkEnd w:id="367"/>
    </w:p>
    <w:p w:rsidR="00037019" w:rsidRDefault="00BE788E">
      <w:pPr>
        <w:pStyle w:val="3"/>
        <w:spacing w:line="280" w:lineRule="exact"/>
        <w:jc w:val="left"/>
        <w:rPr>
          <w:rFonts w:ascii="宋体" w:hAnsi="宋体" w:cs="宋体"/>
          <w:b/>
          <w:bCs/>
        </w:rPr>
      </w:pPr>
      <w:bookmarkStart w:id="368" w:name="_Toc989416"/>
      <w:r>
        <w:rPr>
          <w:rFonts w:ascii="宋体" w:hAnsi="宋体" w:cs="宋体"/>
          <w:b/>
          <w:bCs/>
        </w:rPr>
        <w:t>1、应收账款</w:t>
      </w:r>
      <w:bookmarkEnd w:id="368"/>
    </w:p>
    <w:p w:rsidR="00037019" w:rsidRDefault="00BE788E">
      <w:pPr>
        <w:keepNext/>
        <w:keepLines/>
        <w:spacing w:before="300" w:after="300" w:line="280" w:lineRule="exact"/>
        <w:outlineLvl w:val="3"/>
        <w:rPr>
          <w:rFonts w:ascii="宋体" w:eastAsia="宋体" w:hAnsi="宋体" w:cs="宋体"/>
          <w:b/>
          <w:bCs/>
          <w:szCs w:val="21"/>
        </w:rPr>
      </w:pPr>
      <w:bookmarkStart w:id="369" w:name="_Toc989417"/>
      <w:r>
        <w:rPr>
          <w:rFonts w:ascii="宋体" w:eastAsia="宋体" w:hAnsi="宋体" w:cs="宋体"/>
          <w:b/>
          <w:bCs/>
          <w:szCs w:val="21"/>
        </w:rPr>
        <w:t xml:space="preserve">（1） </w:t>
      </w:r>
      <w:proofErr w:type="gramStart"/>
      <w:r>
        <w:rPr>
          <w:rFonts w:ascii="宋体" w:eastAsia="宋体" w:hAnsi="宋体" w:cs="宋体"/>
          <w:b/>
          <w:bCs/>
          <w:szCs w:val="21"/>
        </w:rPr>
        <w:t>按账龄</w:t>
      </w:r>
      <w:proofErr w:type="gramEnd"/>
      <w:r>
        <w:rPr>
          <w:rFonts w:ascii="宋体" w:eastAsia="宋体" w:hAnsi="宋体" w:cs="宋体"/>
          <w:b/>
          <w:bCs/>
          <w:szCs w:val="21"/>
        </w:rPr>
        <w:t>披露</w:t>
      </w:r>
      <w:bookmarkEnd w:id="369"/>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4,368,355.85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12,254,558.26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4,368,355.85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12,254,558.26</w:t>
            </w:r>
          </w:p>
        </w:tc>
      </w:tr>
    </w:tbl>
    <w:p w:rsidR="00037019" w:rsidRDefault="00BE788E">
      <w:pPr>
        <w:keepNext/>
        <w:keepLines/>
        <w:spacing w:before="300" w:after="300" w:line="280" w:lineRule="exact"/>
        <w:outlineLvl w:val="3"/>
        <w:rPr>
          <w:rFonts w:ascii="宋体" w:eastAsia="宋体" w:hAnsi="宋体" w:cs="宋体"/>
          <w:b/>
          <w:bCs/>
          <w:szCs w:val="21"/>
        </w:rPr>
      </w:pPr>
      <w:bookmarkStart w:id="370" w:name="_Toc989418"/>
      <w:r>
        <w:rPr>
          <w:rFonts w:ascii="宋体" w:eastAsia="宋体" w:hAnsi="宋体" w:cs="宋体"/>
          <w:b/>
          <w:bCs/>
          <w:szCs w:val="21"/>
        </w:rPr>
        <w:t>（2） 按坏账计提方法分类披露</w:t>
      </w:r>
      <w:bookmarkEnd w:id="37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37019">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1624D">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4,368,355.85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4,265,303.71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11,756,379.44</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1624D">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31624D">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1624D">
            <w:pPr>
              <w:spacing w:line="240" w:lineRule="exact"/>
              <w:ind w:firstLineChars="100" w:firstLine="180"/>
              <w:rPr>
                <w:rFonts w:ascii="宋体" w:eastAsia="宋体" w:hAnsi="宋体" w:cs="宋体"/>
                <w:sz w:val="18"/>
                <w:szCs w:val="18"/>
              </w:rPr>
            </w:pPr>
            <w:r>
              <w:rPr>
                <w:rFonts w:ascii="宋体" w:eastAsia="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2,061,042.76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47.18%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1,957,990.62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9,963,576.46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81.31%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9,465,397.64</w:t>
            </w:r>
          </w:p>
        </w:tc>
      </w:tr>
      <w:tr w:rsidR="00037019" w:rsidTr="0031624D">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性质组合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2,307,313.09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52.82%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2,307,313.09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2,290,981.80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2,290,981.80</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4,368,355.85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4,265,303.71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11,756,379.44</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按组合计提坏账准备类别名称：预期信用风险组合</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31624D">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2,061,042.76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2,061,042.76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bl>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sidR="0031624D">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按组合计提坏账准备类别名称：性质组合</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31624D">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性质组合</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2,307,313.09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2,307,313.09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bl>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sidR="0031624D">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如是按照预期信用损失一般模型计提应收账款坏账准备：</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371" w:name="_Toc989419"/>
      <w:r>
        <w:rPr>
          <w:rFonts w:ascii="宋体" w:eastAsia="宋体" w:hAnsi="宋体" w:cs="宋体"/>
          <w:b/>
          <w:bCs/>
          <w:szCs w:val="21"/>
        </w:rPr>
        <w:t>（3） 本期计提、收回或转回的坏账准备情况</w:t>
      </w:r>
      <w:bookmarkEnd w:id="371"/>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本期计提坏账准备情况：</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31624D">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395,126.68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395,126.68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p>
    <w:p w:rsidR="00BE788E" w:rsidRDefault="00BE788E">
      <w:pPr>
        <w:pStyle w:val="a3"/>
        <w:divId w:val="116948859"/>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72" w:name="_Toc989420"/>
      <w:r>
        <w:rPr>
          <w:rFonts w:ascii="宋体" w:eastAsia="宋体" w:hAnsi="宋体" w:cs="宋体"/>
          <w:b/>
          <w:bCs/>
          <w:szCs w:val="21"/>
        </w:rPr>
        <w:t>（4） 本期实际核销的应收账款情况</w:t>
      </w:r>
      <w:bookmarkEnd w:id="372"/>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应收账款核销说明：</w:t>
      </w:r>
      <w:r w:rsidR="0031624D">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73" w:name="_Toc989421"/>
      <w:r>
        <w:rPr>
          <w:rFonts w:ascii="宋体" w:eastAsia="宋体" w:hAnsi="宋体" w:cs="宋体"/>
          <w:b/>
          <w:bCs/>
          <w:szCs w:val="21"/>
        </w:rPr>
        <w:t>（5） 按欠款方归集的期末余额前五名的应收账款和合同资产情况</w:t>
      </w:r>
      <w:bookmarkEnd w:id="37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合同资产期末余额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应收账款和合同资产期末余额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占应收账款和合同资产期末余额合计数的比例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应收账款坏账准备和合同资产减值准备期末余额</w:t>
            </w:r>
          </w:p>
        </w:tc>
      </w:tr>
      <w:tr w:rsidR="00037019" w:rsidTr="0031624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第一名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2,307,313.09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2,307,313.09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52.82%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第二名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1,433,345.44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1,433,345.44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32.81%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71,667.27</w:t>
            </w:r>
          </w:p>
        </w:tc>
      </w:tr>
      <w:tr w:rsidR="00037019" w:rsidTr="0031624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第三名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627,697.32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627,697.32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31,384.87</w:t>
            </w:r>
          </w:p>
        </w:tc>
      </w:tr>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4,368,355.85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4,368,355.85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r>
    </w:tbl>
    <w:p w:rsidR="00037019" w:rsidRDefault="00BE788E">
      <w:pPr>
        <w:pStyle w:val="3"/>
        <w:spacing w:line="280" w:lineRule="exact"/>
        <w:jc w:val="left"/>
        <w:rPr>
          <w:rFonts w:ascii="宋体" w:hAnsi="宋体" w:cs="宋体"/>
          <w:b/>
          <w:bCs/>
        </w:rPr>
      </w:pPr>
      <w:bookmarkStart w:id="374" w:name="_Toc989422"/>
      <w:r>
        <w:rPr>
          <w:rFonts w:ascii="宋体" w:hAnsi="宋体" w:cs="宋体"/>
          <w:b/>
          <w:bCs/>
        </w:rPr>
        <w:lastRenderedPageBreak/>
        <w:t>2、其他应收款</w:t>
      </w:r>
      <w:bookmarkEnd w:id="37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119,584,051.01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116,709,427.72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119,584,051.01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116,709,427.72</w:t>
            </w:r>
          </w:p>
        </w:tc>
      </w:tr>
    </w:tbl>
    <w:p w:rsidR="00037019" w:rsidRDefault="00BE788E">
      <w:pPr>
        <w:keepNext/>
        <w:keepLines/>
        <w:spacing w:before="300" w:after="300" w:line="280" w:lineRule="exact"/>
        <w:outlineLvl w:val="3"/>
        <w:rPr>
          <w:rFonts w:ascii="宋体" w:eastAsia="宋体" w:hAnsi="宋体" w:cs="宋体"/>
          <w:b/>
          <w:bCs/>
          <w:sz w:val="18"/>
          <w:szCs w:val="18"/>
        </w:rPr>
      </w:pPr>
      <w:bookmarkStart w:id="375" w:name="_Toc989423"/>
      <w:r>
        <w:rPr>
          <w:rFonts w:ascii="宋体" w:eastAsia="宋体" w:hAnsi="宋体" w:cs="宋体"/>
          <w:b/>
          <w:bCs/>
          <w:sz w:val="18"/>
          <w:szCs w:val="18"/>
        </w:rPr>
        <w:t>（1） 应收利息</w:t>
      </w:r>
      <w:bookmarkEnd w:id="375"/>
    </w:p>
    <w:p w:rsidR="00037019" w:rsidRDefault="00BE788E">
      <w:pPr>
        <w:keepNext/>
        <w:keepLines/>
        <w:spacing w:before="300" w:after="300" w:line="280" w:lineRule="exact"/>
        <w:outlineLvl w:val="4"/>
        <w:rPr>
          <w:rFonts w:ascii="宋体" w:eastAsia="宋体" w:hAnsi="宋体" w:cs="宋体"/>
          <w:b/>
          <w:bCs/>
          <w:sz w:val="18"/>
          <w:szCs w:val="18"/>
        </w:rPr>
      </w:pPr>
      <w:bookmarkStart w:id="376" w:name="_Toc989424"/>
      <w:r>
        <w:rPr>
          <w:rFonts w:ascii="宋体" w:eastAsia="宋体" w:hAnsi="宋体" w:cs="宋体"/>
          <w:b/>
          <w:bCs/>
          <w:sz w:val="18"/>
          <w:szCs w:val="18"/>
        </w:rPr>
        <w:t>1） 应收利息分类</w:t>
      </w:r>
      <w:bookmarkEnd w:id="376"/>
    </w:p>
    <w:p w:rsidR="00037019" w:rsidRDefault="00BE788E">
      <w:pPr>
        <w:keepNext/>
        <w:keepLines/>
        <w:spacing w:before="300" w:after="300" w:line="280" w:lineRule="exact"/>
        <w:outlineLvl w:val="4"/>
        <w:rPr>
          <w:rFonts w:ascii="宋体" w:eastAsia="宋体" w:hAnsi="宋体" w:cs="宋体"/>
          <w:b/>
          <w:bCs/>
          <w:sz w:val="18"/>
          <w:szCs w:val="18"/>
        </w:rPr>
      </w:pPr>
      <w:bookmarkStart w:id="377" w:name="_Toc989425"/>
      <w:r>
        <w:rPr>
          <w:rFonts w:ascii="宋体" w:eastAsia="宋体" w:hAnsi="宋体" w:cs="宋体"/>
          <w:b/>
          <w:bCs/>
          <w:sz w:val="18"/>
          <w:szCs w:val="18"/>
        </w:rPr>
        <w:t>2） 重要逾期利息</w:t>
      </w:r>
      <w:bookmarkEnd w:id="377"/>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keepNext/>
        <w:keepLines/>
        <w:spacing w:before="300" w:after="300" w:line="280" w:lineRule="exact"/>
        <w:outlineLvl w:val="4"/>
        <w:rPr>
          <w:rFonts w:ascii="宋体" w:eastAsia="宋体" w:hAnsi="宋体" w:cs="宋体"/>
          <w:b/>
          <w:bCs/>
          <w:sz w:val="18"/>
          <w:szCs w:val="18"/>
        </w:rPr>
      </w:pPr>
      <w:bookmarkStart w:id="378" w:name="_Toc989426"/>
      <w:r>
        <w:rPr>
          <w:rFonts w:ascii="宋体" w:eastAsia="宋体" w:hAnsi="宋体" w:cs="宋体"/>
          <w:b/>
          <w:bCs/>
          <w:sz w:val="18"/>
          <w:szCs w:val="18"/>
        </w:rPr>
        <w:t>3） 按坏账计提方法分类披露</w:t>
      </w:r>
      <w:bookmarkEnd w:id="378"/>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4"/>
        <w:rPr>
          <w:rFonts w:ascii="宋体" w:eastAsia="宋体" w:hAnsi="宋体" w:cs="宋体"/>
          <w:b/>
          <w:bCs/>
          <w:sz w:val="18"/>
          <w:szCs w:val="18"/>
        </w:rPr>
      </w:pPr>
      <w:bookmarkStart w:id="379" w:name="_Toc989427"/>
      <w:r>
        <w:rPr>
          <w:rFonts w:ascii="宋体" w:eastAsia="宋体" w:hAnsi="宋体" w:cs="宋体"/>
          <w:b/>
          <w:bCs/>
          <w:sz w:val="18"/>
          <w:szCs w:val="18"/>
        </w:rPr>
        <w:t>4） 本期计提、收回或转回的坏账准备的情况</w:t>
      </w:r>
      <w:bookmarkEnd w:id="379"/>
    </w:p>
    <w:p w:rsidR="00037019" w:rsidRDefault="0031624D">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w:t>
      </w:r>
      <w:r w:rsidR="00BE788E">
        <w:rPr>
          <w:rFonts w:ascii="宋体" w:eastAsia="宋体" w:hAnsi="宋体" w:cs="宋体"/>
          <w:sz w:val="18"/>
          <w:szCs w:val="18"/>
        </w:rPr>
        <w:t>或转回金额重要的：</w:t>
      </w:r>
      <w:r>
        <w:rPr>
          <w:rFonts w:ascii="宋体" w:eastAsia="宋体" w:hAnsi="宋体" w:cs="宋体"/>
          <w:sz w:val="18"/>
          <w:szCs w:val="18"/>
        </w:rPr>
        <w:t>无</w:t>
      </w:r>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keepNext/>
        <w:keepLines/>
        <w:spacing w:before="300" w:after="300" w:line="280" w:lineRule="exact"/>
        <w:outlineLvl w:val="4"/>
        <w:rPr>
          <w:rFonts w:ascii="宋体" w:eastAsia="宋体" w:hAnsi="宋体" w:cs="宋体"/>
          <w:b/>
          <w:bCs/>
          <w:sz w:val="18"/>
          <w:szCs w:val="18"/>
        </w:rPr>
      </w:pPr>
      <w:bookmarkStart w:id="380" w:name="_Toc989428"/>
      <w:r>
        <w:rPr>
          <w:rFonts w:ascii="宋体" w:eastAsia="宋体" w:hAnsi="宋体" w:cs="宋体"/>
          <w:b/>
          <w:bCs/>
          <w:sz w:val="18"/>
          <w:szCs w:val="18"/>
        </w:rPr>
        <w:t>5） 本期实际核销的应收利息情况</w:t>
      </w:r>
      <w:bookmarkEnd w:id="380"/>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1624D">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381" w:name="_Toc989429"/>
      <w:r>
        <w:rPr>
          <w:rFonts w:ascii="宋体" w:eastAsia="宋体" w:hAnsi="宋体" w:cs="宋体"/>
          <w:b/>
          <w:bCs/>
          <w:sz w:val="18"/>
          <w:szCs w:val="18"/>
        </w:rPr>
        <w:t>（2） 应收股利</w:t>
      </w:r>
      <w:bookmarkEnd w:id="381"/>
    </w:p>
    <w:p w:rsidR="00037019" w:rsidRDefault="00BE788E">
      <w:pPr>
        <w:keepNext/>
        <w:keepLines/>
        <w:spacing w:before="300" w:after="300" w:line="280" w:lineRule="exact"/>
        <w:outlineLvl w:val="4"/>
        <w:rPr>
          <w:rFonts w:ascii="宋体" w:eastAsia="宋体" w:hAnsi="宋体" w:cs="宋体"/>
          <w:b/>
          <w:bCs/>
          <w:sz w:val="18"/>
          <w:szCs w:val="18"/>
        </w:rPr>
      </w:pPr>
      <w:bookmarkStart w:id="382" w:name="_Toc989430"/>
      <w:r>
        <w:rPr>
          <w:rFonts w:ascii="宋体" w:eastAsia="宋体" w:hAnsi="宋体" w:cs="宋体"/>
          <w:b/>
          <w:bCs/>
          <w:sz w:val="18"/>
          <w:szCs w:val="18"/>
        </w:rPr>
        <w:t>1） 应收股利分类</w:t>
      </w:r>
      <w:bookmarkEnd w:id="382"/>
    </w:p>
    <w:p w:rsidR="00037019" w:rsidRDefault="00BE788E">
      <w:pPr>
        <w:keepNext/>
        <w:keepLines/>
        <w:spacing w:before="300" w:after="300" w:line="280" w:lineRule="exact"/>
        <w:outlineLvl w:val="4"/>
        <w:rPr>
          <w:rFonts w:ascii="宋体" w:eastAsia="宋体" w:hAnsi="宋体" w:cs="宋体"/>
          <w:b/>
          <w:bCs/>
          <w:sz w:val="18"/>
          <w:szCs w:val="18"/>
        </w:rPr>
      </w:pPr>
      <w:bookmarkStart w:id="383" w:name="_Toc989431"/>
      <w:r>
        <w:rPr>
          <w:rFonts w:ascii="宋体" w:eastAsia="宋体" w:hAnsi="宋体" w:cs="宋体"/>
          <w:b/>
          <w:bCs/>
          <w:sz w:val="18"/>
          <w:szCs w:val="18"/>
        </w:rPr>
        <w:t>2） 重要的账龄超过1年的应收股利</w:t>
      </w:r>
      <w:bookmarkEnd w:id="383"/>
    </w:p>
    <w:p w:rsidR="00037019" w:rsidRDefault="00BE788E">
      <w:pPr>
        <w:keepNext/>
        <w:keepLines/>
        <w:spacing w:before="300" w:after="300" w:line="280" w:lineRule="exact"/>
        <w:outlineLvl w:val="4"/>
        <w:rPr>
          <w:rFonts w:ascii="宋体" w:eastAsia="宋体" w:hAnsi="宋体" w:cs="宋体"/>
          <w:b/>
          <w:bCs/>
          <w:sz w:val="18"/>
          <w:szCs w:val="18"/>
        </w:rPr>
      </w:pPr>
      <w:bookmarkStart w:id="384" w:name="_Toc989432"/>
      <w:r>
        <w:rPr>
          <w:rFonts w:ascii="宋体" w:eastAsia="宋体" w:hAnsi="宋体" w:cs="宋体"/>
          <w:b/>
          <w:bCs/>
          <w:sz w:val="18"/>
          <w:szCs w:val="18"/>
        </w:rPr>
        <w:t>3） 按坏账计提方法分类披露</w:t>
      </w:r>
      <w:bookmarkEnd w:id="384"/>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4"/>
        <w:rPr>
          <w:rFonts w:ascii="宋体" w:eastAsia="宋体" w:hAnsi="宋体" w:cs="宋体"/>
          <w:b/>
          <w:bCs/>
          <w:sz w:val="18"/>
          <w:szCs w:val="18"/>
        </w:rPr>
      </w:pPr>
      <w:bookmarkStart w:id="385" w:name="_Toc989433"/>
      <w:r>
        <w:rPr>
          <w:rFonts w:ascii="宋体" w:eastAsia="宋体" w:hAnsi="宋体" w:cs="宋体"/>
          <w:b/>
          <w:bCs/>
          <w:sz w:val="18"/>
          <w:szCs w:val="18"/>
        </w:rPr>
        <w:t>4） 本期计提、收回或转回的坏账准备的情况</w:t>
      </w:r>
      <w:bookmarkEnd w:id="385"/>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1624D">
        <w:rPr>
          <w:rFonts w:hint="eastAsia"/>
          <w:sz w:val="18"/>
          <w:szCs w:val="18"/>
        </w:rPr>
        <w:t>无</w:t>
      </w:r>
    </w:p>
    <w:p w:rsidR="00037019" w:rsidRDefault="00BE788E">
      <w:pPr>
        <w:keepNext/>
        <w:keepLines/>
        <w:spacing w:before="300" w:after="300" w:line="280" w:lineRule="exact"/>
        <w:outlineLvl w:val="4"/>
        <w:rPr>
          <w:rFonts w:ascii="宋体" w:eastAsia="宋体" w:hAnsi="宋体" w:cs="宋体"/>
          <w:b/>
          <w:bCs/>
          <w:sz w:val="18"/>
          <w:szCs w:val="18"/>
        </w:rPr>
      </w:pPr>
      <w:bookmarkStart w:id="386" w:name="_Toc989434"/>
      <w:r>
        <w:rPr>
          <w:rFonts w:ascii="宋体" w:eastAsia="宋体" w:hAnsi="宋体" w:cs="宋体"/>
          <w:b/>
          <w:bCs/>
          <w:sz w:val="18"/>
          <w:szCs w:val="18"/>
        </w:rPr>
        <w:t>5） 本期实际核销的应收股利情况</w:t>
      </w:r>
      <w:bookmarkEnd w:id="386"/>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387" w:name="_Toc989435"/>
      <w:r>
        <w:rPr>
          <w:rFonts w:ascii="宋体" w:eastAsia="宋体" w:hAnsi="宋体" w:cs="宋体"/>
          <w:b/>
          <w:bCs/>
          <w:sz w:val="18"/>
          <w:szCs w:val="18"/>
        </w:rPr>
        <w:lastRenderedPageBreak/>
        <w:t>（3） 其他应收款</w:t>
      </w:r>
      <w:bookmarkEnd w:id="387"/>
    </w:p>
    <w:p w:rsidR="00037019" w:rsidRDefault="00BE788E">
      <w:pPr>
        <w:keepNext/>
        <w:keepLines/>
        <w:spacing w:before="300" w:after="300" w:line="280" w:lineRule="exact"/>
        <w:outlineLvl w:val="4"/>
        <w:rPr>
          <w:rFonts w:ascii="宋体" w:eastAsia="宋体" w:hAnsi="宋体" w:cs="宋体"/>
          <w:b/>
          <w:bCs/>
          <w:sz w:val="18"/>
          <w:szCs w:val="18"/>
        </w:rPr>
      </w:pPr>
      <w:bookmarkStart w:id="388" w:name="_Toc989436"/>
      <w:r>
        <w:rPr>
          <w:rFonts w:ascii="宋体" w:eastAsia="宋体" w:hAnsi="宋体" w:cs="宋体"/>
          <w:b/>
          <w:bCs/>
          <w:sz w:val="18"/>
          <w:szCs w:val="18"/>
        </w:rPr>
        <w:t>1） 其他应收款按款项性质分类情况</w:t>
      </w:r>
      <w:bookmarkEnd w:id="38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37019" w:rsidTr="0031624D">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暂借款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152,313.03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143,285.23</w:t>
            </w:r>
          </w:p>
        </w:tc>
      </w:tr>
      <w:tr w:rsidR="00037019" w:rsidTr="0031624D">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单位往来款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19,115,777.77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19,115,777.77</w:t>
            </w:r>
          </w:p>
        </w:tc>
      </w:tr>
      <w:tr w:rsidR="00037019" w:rsidTr="0031624D">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应收股权转让款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106,852,036.97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103,985,990.09</w:t>
            </w:r>
          </w:p>
        </w:tc>
      </w:tr>
      <w:tr w:rsidR="00037019" w:rsidTr="0031624D">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减：坏账准备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119,584,051.01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116,709,427.72</w:t>
            </w:r>
          </w:p>
        </w:tc>
      </w:tr>
    </w:tbl>
    <w:p w:rsidR="00037019" w:rsidRDefault="00BE788E">
      <w:pPr>
        <w:keepNext/>
        <w:keepLines/>
        <w:spacing w:before="300" w:after="300" w:line="280" w:lineRule="exact"/>
        <w:outlineLvl w:val="4"/>
        <w:rPr>
          <w:rFonts w:ascii="宋体" w:eastAsia="宋体" w:hAnsi="宋体" w:cs="宋体"/>
          <w:b/>
          <w:bCs/>
          <w:sz w:val="18"/>
          <w:szCs w:val="18"/>
        </w:rPr>
      </w:pPr>
      <w:bookmarkStart w:id="389" w:name="_Toc989437"/>
      <w:r>
        <w:rPr>
          <w:rFonts w:ascii="宋体" w:eastAsia="宋体" w:hAnsi="宋体" w:cs="宋体"/>
          <w:b/>
          <w:bCs/>
          <w:sz w:val="18"/>
          <w:szCs w:val="18"/>
        </w:rPr>
        <w:t xml:space="preserve">2） </w:t>
      </w:r>
      <w:proofErr w:type="gramStart"/>
      <w:r>
        <w:rPr>
          <w:rFonts w:ascii="宋体" w:eastAsia="宋体" w:hAnsi="宋体" w:cs="宋体"/>
          <w:b/>
          <w:bCs/>
          <w:sz w:val="18"/>
          <w:szCs w:val="18"/>
        </w:rPr>
        <w:t>按账龄</w:t>
      </w:r>
      <w:proofErr w:type="gramEnd"/>
      <w:r>
        <w:rPr>
          <w:rFonts w:ascii="宋体" w:eastAsia="宋体" w:hAnsi="宋体" w:cs="宋体"/>
          <w:b/>
          <w:bCs/>
          <w:sz w:val="18"/>
          <w:szCs w:val="18"/>
        </w:rPr>
        <w:t>披露</w:t>
      </w:r>
      <w:bookmarkEnd w:id="38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106,999,349.99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104,124,275.32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2,084,444.45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2,084,444.44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7,331,333.33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7,331,333.33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9,705,000.00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9,705,000.00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1624D">
            <w:pPr>
              <w:spacing w:before="40" w:after="40" w:line="240" w:lineRule="exact"/>
              <w:rPr>
                <w:rFonts w:ascii="宋体" w:eastAsia="宋体" w:hAnsi="宋体" w:cs="宋体"/>
                <w:sz w:val="18"/>
                <w:szCs w:val="18"/>
              </w:rPr>
            </w:pPr>
            <w:r>
              <w:rPr>
                <w:rFonts w:ascii="宋体" w:eastAsia="宋体" w:hAnsi="宋体" w:cs="宋体"/>
                <w:sz w:val="18"/>
                <w:szCs w:val="18"/>
              </w:rPr>
              <w:t>3至4年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9,700,000.00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9,700,000.00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1624D">
            <w:pPr>
              <w:spacing w:before="40" w:after="40" w:line="240" w:lineRule="exact"/>
              <w:rPr>
                <w:rFonts w:ascii="宋体" w:eastAsia="宋体" w:hAnsi="宋体" w:cs="宋体"/>
                <w:sz w:val="18"/>
                <w:szCs w:val="18"/>
              </w:rPr>
            </w:pPr>
            <w:r>
              <w:rPr>
                <w:rFonts w:ascii="宋体" w:eastAsia="宋体" w:hAnsi="宋体" w:cs="宋体"/>
                <w:sz w:val="18"/>
                <w:szCs w:val="18"/>
              </w:rPr>
              <w:t>4至5年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126,120,127.77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123,245,053.09</w:t>
            </w:r>
          </w:p>
        </w:tc>
      </w:tr>
    </w:tbl>
    <w:p w:rsidR="00037019" w:rsidRDefault="00BE788E">
      <w:pPr>
        <w:keepNext/>
        <w:keepLines/>
        <w:spacing w:before="300" w:after="300" w:line="280" w:lineRule="exact"/>
        <w:outlineLvl w:val="4"/>
        <w:rPr>
          <w:rFonts w:ascii="宋体" w:eastAsia="宋体" w:hAnsi="宋体" w:cs="宋体"/>
          <w:b/>
          <w:bCs/>
          <w:sz w:val="18"/>
          <w:szCs w:val="18"/>
        </w:rPr>
      </w:pPr>
      <w:bookmarkStart w:id="390" w:name="_Toc989438"/>
      <w:r>
        <w:rPr>
          <w:rFonts w:ascii="宋体" w:eastAsia="宋体" w:hAnsi="宋体" w:cs="宋体"/>
          <w:b/>
          <w:bCs/>
          <w:sz w:val="18"/>
          <w:szCs w:val="18"/>
        </w:rPr>
        <w:t>3） 按坏账计提方法分类披露</w:t>
      </w:r>
      <w:bookmarkEnd w:id="39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37019">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1624D">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126,120,127.77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119,584,051.01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123,245,053.09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116,709,427.72</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1624D">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31624D">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19,268,090.80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12,732,014.04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19,259,063.00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15.63%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12,723,437.63</w:t>
            </w:r>
          </w:p>
        </w:tc>
      </w:tr>
      <w:tr w:rsidR="00037019" w:rsidTr="0031624D">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合并范围内关联方组合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106,852,036.97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84.72%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106,852,036.97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103,985,990.09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84.37%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103,985,990.09</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126,120,127.77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119,584,051.01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123,245,053.09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39.24%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116,709,427.72</w:t>
            </w:r>
          </w:p>
        </w:tc>
      </w:tr>
    </w:tbl>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按组合计提坏账准备类别名称： 预期信用风险组合 </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31624D">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预期信用风险组合</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19,268,090.80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33.92%</w:t>
            </w:r>
          </w:p>
        </w:tc>
      </w:tr>
      <w:tr w:rsidR="00037019" w:rsidTr="0031624D">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19,268,090.80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按组合计提坏账准备类别名称： 合并范围内关联方组合 </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31624D">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合并范围内关联方组合</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106,852,036.97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rsidTr="0031624D">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106,852,036.97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BE788E" w:rsidRPr="006E5D7D" w:rsidRDefault="00BE788E" w:rsidP="006E5D7D">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sidR="006E5D7D">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按预期信用损失一般模型计提坏账准备：</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未来12个月预期信用损失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整个存续期预期信用损失（未发生信用减值）</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整个存续期预期信用损失（已发生信用减值）</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2024年1月1日余额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2024年1月1日余额在本期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451.39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451.39</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2024年6月30日余额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r>
    </w:tbl>
    <w:p w:rsidR="00BE788E" w:rsidRPr="006E5D7D" w:rsidRDefault="00BE788E" w:rsidP="006E5D7D">
      <w:pPr>
        <w:spacing w:before="100" w:after="100" w:line="240" w:lineRule="exact"/>
        <w:rPr>
          <w:rFonts w:ascii="宋体" w:eastAsia="宋体" w:hAnsi="宋体" w:cs="宋体"/>
          <w:sz w:val="18"/>
          <w:szCs w:val="18"/>
        </w:rPr>
      </w:pPr>
      <w:r>
        <w:rPr>
          <w:rFonts w:ascii="宋体" w:eastAsia="宋体" w:hAnsi="宋体" w:cs="宋体"/>
          <w:sz w:val="18"/>
          <w:szCs w:val="18"/>
        </w:rPr>
        <w:t>各阶段划分依据和坏账准备计提比例</w:t>
      </w:r>
      <w:r w:rsidR="006E5D7D">
        <w:rPr>
          <w:rFonts w:ascii="宋体" w:eastAsia="宋体" w:hAnsi="宋体" w:cs="宋体"/>
          <w:sz w:val="18"/>
          <w:szCs w:val="18"/>
        </w:rPr>
        <w:t>：</w:t>
      </w:r>
      <w:r w:rsidR="006E5D7D">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4"/>
        <w:rPr>
          <w:rFonts w:ascii="宋体" w:eastAsia="宋体" w:hAnsi="宋体" w:cs="宋体"/>
          <w:b/>
          <w:bCs/>
          <w:sz w:val="18"/>
          <w:szCs w:val="18"/>
        </w:rPr>
      </w:pPr>
      <w:bookmarkStart w:id="391" w:name="_Toc989439"/>
      <w:r>
        <w:rPr>
          <w:rFonts w:ascii="宋体" w:eastAsia="宋体" w:hAnsi="宋体" w:cs="宋体"/>
          <w:b/>
          <w:bCs/>
          <w:sz w:val="18"/>
          <w:szCs w:val="18"/>
        </w:rPr>
        <w:t>4） 本期计提、收回或转回的坏账准备情况</w:t>
      </w:r>
      <w:bookmarkEnd w:id="391"/>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本期计提坏账准备情况：</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转销或核销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6E5D7D">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451.39</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451.39</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r>
    </w:tbl>
    <w:p w:rsidR="00037019" w:rsidRDefault="00BE788E">
      <w:pPr>
        <w:spacing w:before="100" w:after="40" w:line="240" w:lineRule="exact"/>
        <w:rPr>
          <w:rFonts w:ascii="宋体" w:eastAsia="宋体" w:hAnsi="宋体" w:cs="宋体"/>
          <w:sz w:val="18"/>
          <w:szCs w:val="18"/>
        </w:rPr>
      </w:pPr>
      <w:r>
        <w:rPr>
          <w:rFonts w:ascii="宋体" w:eastAsia="宋体" w:hAnsi="宋体" w:cs="宋体"/>
          <w:sz w:val="18"/>
          <w:szCs w:val="18"/>
        </w:rPr>
        <w:t>其中本期坏账准备转回或收回金额重要的：</w:t>
      </w:r>
    </w:p>
    <w:p w:rsidR="00BE788E" w:rsidRDefault="00BE788E">
      <w:pPr>
        <w:pStyle w:val="a3"/>
        <w:divId w:val="2073888203"/>
        <w:rPr>
          <w:sz w:val="18"/>
          <w:szCs w:val="18"/>
        </w:rPr>
      </w:pPr>
      <w:r>
        <w:rPr>
          <w:rFonts w:hint="eastAsia"/>
          <w:sz w:val="18"/>
          <w:szCs w:val="18"/>
        </w:rPr>
        <w:t>无。</w:t>
      </w:r>
    </w:p>
    <w:p w:rsidR="00037019" w:rsidRDefault="00BE788E">
      <w:pPr>
        <w:keepNext/>
        <w:keepLines/>
        <w:spacing w:before="300" w:after="300" w:line="280" w:lineRule="exact"/>
        <w:outlineLvl w:val="4"/>
        <w:rPr>
          <w:rFonts w:ascii="宋体" w:eastAsia="宋体" w:hAnsi="宋体" w:cs="宋体"/>
          <w:b/>
          <w:bCs/>
          <w:sz w:val="18"/>
          <w:szCs w:val="18"/>
        </w:rPr>
      </w:pPr>
      <w:bookmarkStart w:id="392" w:name="_Toc989440"/>
      <w:r>
        <w:rPr>
          <w:rFonts w:ascii="宋体" w:eastAsia="宋体" w:hAnsi="宋体" w:cs="宋体"/>
          <w:b/>
          <w:bCs/>
          <w:sz w:val="18"/>
          <w:szCs w:val="18"/>
        </w:rPr>
        <w:t>5） 本期实际核销的其他应收款情况</w:t>
      </w:r>
      <w:bookmarkEnd w:id="392"/>
    </w:p>
    <w:p w:rsidR="00BE788E" w:rsidRPr="006E5D7D" w:rsidRDefault="00BE788E" w:rsidP="006E5D7D">
      <w:pPr>
        <w:spacing w:before="100" w:after="100" w:line="240" w:lineRule="exact"/>
        <w:rPr>
          <w:rFonts w:ascii="宋体" w:eastAsia="宋体" w:hAnsi="宋体" w:cs="宋体"/>
          <w:sz w:val="18"/>
          <w:szCs w:val="18"/>
        </w:rPr>
      </w:pPr>
      <w:r>
        <w:rPr>
          <w:rFonts w:ascii="宋体" w:eastAsia="宋体" w:hAnsi="宋体" w:cs="宋体"/>
          <w:sz w:val="18"/>
          <w:szCs w:val="18"/>
        </w:rPr>
        <w:t>其他应收款核销说明：</w:t>
      </w:r>
      <w:r w:rsidR="006E5D7D">
        <w:rPr>
          <w:rFonts w:hint="eastAsia"/>
          <w:sz w:val="18"/>
          <w:szCs w:val="18"/>
        </w:rPr>
        <w:t>无</w:t>
      </w:r>
    </w:p>
    <w:p w:rsidR="00037019" w:rsidRDefault="00BE788E">
      <w:pPr>
        <w:keepNext/>
        <w:keepLines/>
        <w:spacing w:before="300" w:after="300" w:line="280" w:lineRule="exact"/>
        <w:outlineLvl w:val="4"/>
        <w:rPr>
          <w:rFonts w:ascii="宋体" w:eastAsia="宋体" w:hAnsi="宋体" w:cs="宋体"/>
          <w:b/>
          <w:bCs/>
          <w:sz w:val="18"/>
          <w:szCs w:val="18"/>
        </w:rPr>
      </w:pPr>
      <w:bookmarkStart w:id="393" w:name="_Toc989441"/>
      <w:r>
        <w:rPr>
          <w:rFonts w:ascii="宋体" w:eastAsia="宋体" w:hAnsi="宋体" w:cs="宋体"/>
          <w:b/>
          <w:bCs/>
          <w:sz w:val="18"/>
          <w:szCs w:val="18"/>
        </w:rPr>
        <w:lastRenderedPageBreak/>
        <w:t>6） 按欠款方归集的期末余额前五名的其他应收款情况</w:t>
      </w:r>
      <w:bookmarkEnd w:id="39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占其他应收款期末余额合计数的比例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81,723,246.56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64.80%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1,129,444.45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1-2年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0.90%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56,472.22</w:t>
            </w: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1,016,666.66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2-3年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0.81%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50,833.33</w:t>
            </w: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9,700,000.00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3-4年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485,000.00</w:t>
            </w: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11,225,229.39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955,000.00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1-2年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0.76%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95,500.00</w:t>
            </w: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6,314,666.67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2-3年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1,262,933.33</w:t>
            </w: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7,000,000.00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119,064,253.73</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94.42%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1,950,738.88</w:t>
            </w:r>
          </w:p>
        </w:tc>
      </w:tr>
    </w:tbl>
    <w:p w:rsidR="00037019" w:rsidRDefault="00BE788E">
      <w:pPr>
        <w:keepNext/>
        <w:keepLines/>
        <w:spacing w:before="300" w:after="300" w:line="280" w:lineRule="exact"/>
        <w:outlineLvl w:val="4"/>
        <w:rPr>
          <w:rFonts w:ascii="宋体" w:eastAsia="宋体" w:hAnsi="宋体" w:cs="宋体"/>
          <w:b/>
          <w:bCs/>
          <w:sz w:val="18"/>
          <w:szCs w:val="18"/>
        </w:rPr>
      </w:pPr>
      <w:bookmarkStart w:id="394" w:name="_Toc989442"/>
      <w:r>
        <w:rPr>
          <w:rFonts w:ascii="宋体" w:eastAsia="宋体" w:hAnsi="宋体" w:cs="宋体"/>
          <w:b/>
          <w:bCs/>
          <w:sz w:val="18"/>
          <w:szCs w:val="18"/>
        </w:rPr>
        <w:t>7） 因资金集中管理而列报于其他应收款</w:t>
      </w:r>
      <w:bookmarkEnd w:id="394"/>
    </w:p>
    <w:p w:rsidR="00BE788E" w:rsidRPr="006E5D7D" w:rsidRDefault="00BE788E" w:rsidP="006E5D7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E5D7D">
        <w:rPr>
          <w:rFonts w:hint="eastAsia"/>
          <w:sz w:val="18"/>
          <w:szCs w:val="18"/>
        </w:rPr>
        <w:t>无</w:t>
      </w:r>
    </w:p>
    <w:p w:rsidR="00037019" w:rsidRDefault="00BE788E">
      <w:pPr>
        <w:pStyle w:val="3"/>
        <w:spacing w:line="280" w:lineRule="exact"/>
        <w:jc w:val="left"/>
        <w:rPr>
          <w:rFonts w:ascii="宋体" w:hAnsi="宋体" w:cs="宋体"/>
          <w:b/>
          <w:bCs/>
        </w:rPr>
      </w:pPr>
      <w:bookmarkStart w:id="395" w:name="_Toc989443"/>
      <w:r>
        <w:rPr>
          <w:rFonts w:ascii="宋体" w:hAnsi="宋体" w:cs="宋体"/>
          <w:b/>
          <w:bCs/>
        </w:rPr>
        <w:t>3、长期股权投资</w:t>
      </w:r>
      <w:bookmarkEnd w:id="39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对子公司投资</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r>
    </w:tbl>
    <w:p w:rsidR="00037019" w:rsidRDefault="00BE788E">
      <w:pPr>
        <w:keepNext/>
        <w:keepLines/>
        <w:spacing w:before="300" w:after="300" w:line="280" w:lineRule="exact"/>
        <w:outlineLvl w:val="3"/>
        <w:rPr>
          <w:rFonts w:ascii="宋体" w:eastAsia="宋体" w:hAnsi="宋体" w:cs="宋体"/>
          <w:b/>
          <w:bCs/>
          <w:szCs w:val="21"/>
        </w:rPr>
      </w:pPr>
      <w:bookmarkStart w:id="396" w:name="_Toc989444"/>
      <w:r>
        <w:rPr>
          <w:rFonts w:ascii="宋体" w:eastAsia="宋体" w:hAnsi="宋体" w:cs="宋体"/>
          <w:b/>
          <w:bCs/>
          <w:szCs w:val="21"/>
        </w:rPr>
        <w:t>（1） 对子公司投资</w:t>
      </w:r>
      <w:bookmarkEnd w:id="39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37019" w:rsidTr="006E5D7D">
        <w:trPr>
          <w:cantSplit/>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期初余额（账面价值）</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减值准备期初余额</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本期增减变动</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期末余额（账面价值）</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减值准备期末余额</w:t>
            </w:r>
          </w:p>
        </w:tc>
      </w:tr>
      <w:tr w:rsidR="00037019" w:rsidTr="006E5D7D">
        <w:trPr>
          <w:cantSplit/>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追加投资</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减少投资</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计提减值准备</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2,126,565,336.11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2,126,565,336.11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浙江金华华孚纺织有限公司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12,832,704.89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12,832,704.89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127,264,373.11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127,264,373.11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淮北市华孚纺织有限公司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205,306,183.89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205,306,183.89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奎屯锦孚纺织</w:t>
            </w:r>
            <w:proofErr w:type="gramEnd"/>
            <w:r>
              <w:rPr>
                <w:rFonts w:ascii="宋体" w:eastAsia="宋体" w:hAnsi="宋体" w:cs="宋体"/>
                <w:sz w:val="18"/>
                <w:szCs w:val="18"/>
              </w:rPr>
              <w:t>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154,330,400.00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154,330,400.00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深圳华孚网链投资有限公司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keepNext/>
        <w:keepLines/>
        <w:spacing w:before="300" w:after="300" w:line="280" w:lineRule="exact"/>
        <w:outlineLvl w:val="3"/>
        <w:rPr>
          <w:rFonts w:ascii="宋体" w:eastAsia="宋体" w:hAnsi="宋体" w:cs="宋体"/>
          <w:b/>
          <w:bCs/>
          <w:szCs w:val="21"/>
        </w:rPr>
      </w:pPr>
      <w:bookmarkStart w:id="397" w:name="_Toc989445"/>
      <w:r>
        <w:rPr>
          <w:rFonts w:ascii="宋体" w:eastAsia="宋体" w:hAnsi="宋体" w:cs="宋体"/>
          <w:b/>
          <w:bCs/>
          <w:szCs w:val="21"/>
        </w:rPr>
        <w:t>（2） 对联营、合营企业投资</w:t>
      </w:r>
      <w:bookmarkEnd w:id="397"/>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可收回金额按公允价值减去处置费用后的净额确定</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p>
    <w:p w:rsidR="00BE788E" w:rsidRDefault="006E5D7D">
      <w:pPr>
        <w:pStyle w:val="a3"/>
        <w:divId w:val="163932885"/>
        <w:rPr>
          <w:sz w:val="18"/>
          <w:szCs w:val="18"/>
        </w:rPr>
      </w:pP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公司以前年度减值测试采用信息与当年实际情况明显不一致的差异原因</w:t>
      </w:r>
    </w:p>
    <w:p w:rsidR="00BE788E" w:rsidRDefault="006E5D7D">
      <w:pPr>
        <w:pStyle w:val="a3"/>
        <w:divId w:val="221137369"/>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98" w:name="_Toc989446"/>
      <w:r>
        <w:rPr>
          <w:rFonts w:ascii="宋体" w:eastAsia="宋体" w:hAnsi="宋体" w:cs="宋体"/>
          <w:b/>
          <w:bCs/>
          <w:szCs w:val="21"/>
        </w:rPr>
        <w:t>（3） 其他说明</w:t>
      </w:r>
      <w:bookmarkEnd w:id="398"/>
    </w:p>
    <w:p w:rsidR="00BE788E" w:rsidRDefault="006E5D7D">
      <w:pPr>
        <w:pStyle w:val="a3"/>
        <w:divId w:val="560166974"/>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99" w:name="_Toc989447"/>
      <w:r>
        <w:rPr>
          <w:rFonts w:ascii="宋体" w:hAnsi="宋体" w:cs="宋体"/>
          <w:b/>
          <w:bCs/>
        </w:rPr>
        <w:t>4、营业收入和营业成本</w:t>
      </w:r>
      <w:bookmarkEnd w:id="39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522,522,825.45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424,878,105.21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594,814,765.58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472,328,498.50</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185,084.26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21,401.87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16,138,216.96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8,094,240.45</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522,707,909.71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424,899,507.08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610,952,982.54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480,422,738.95</w:t>
            </w:r>
          </w:p>
        </w:tc>
      </w:tr>
    </w:tbl>
    <w:p w:rsidR="00037019" w:rsidRDefault="00BE788E">
      <w:pPr>
        <w:spacing w:before="100" w:after="40" w:line="240" w:lineRule="exact"/>
        <w:rPr>
          <w:rFonts w:ascii="宋体" w:eastAsia="宋体" w:hAnsi="宋体" w:cs="宋体"/>
          <w:sz w:val="18"/>
          <w:szCs w:val="18"/>
        </w:rPr>
      </w:pPr>
      <w:r>
        <w:rPr>
          <w:rFonts w:ascii="宋体" w:eastAsia="宋体" w:hAnsi="宋体" w:cs="宋体"/>
          <w:sz w:val="18"/>
          <w:szCs w:val="18"/>
        </w:rPr>
        <w:t>营业收入、营业成本的分解信息：</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37019" w:rsidTr="006E5D7D">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合同分类</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分部1</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分部2</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 xml:space="preserve"> 本期发生额</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业务类型</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6E5D7D">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纱线</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437,241,5</w:t>
            </w:r>
            <w:r>
              <w:rPr>
                <w:rFonts w:ascii="宋体" w:eastAsia="宋体" w:hAnsi="宋体" w:cs="宋体"/>
                <w:sz w:val="18"/>
                <w:szCs w:val="18"/>
              </w:rPr>
              <w:lastRenderedPageBreak/>
              <w:t>17.20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343,478,2</w:t>
            </w:r>
            <w:r>
              <w:rPr>
                <w:rFonts w:ascii="宋体" w:eastAsia="宋体" w:hAnsi="宋体" w:cs="宋体"/>
                <w:sz w:val="18"/>
                <w:szCs w:val="18"/>
              </w:rPr>
              <w:lastRenderedPageBreak/>
              <w:t>97.39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437,241,5</w:t>
            </w:r>
            <w:r>
              <w:rPr>
                <w:rFonts w:ascii="宋体" w:eastAsia="宋体" w:hAnsi="宋体" w:cs="宋体"/>
                <w:sz w:val="18"/>
                <w:szCs w:val="18"/>
              </w:rPr>
              <w:lastRenderedPageBreak/>
              <w:t>17.20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343,478,2</w:t>
            </w:r>
            <w:r>
              <w:rPr>
                <w:rFonts w:ascii="宋体" w:eastAsia="宋体" w:hAnsi="宋体" w:cs="宋体"/>
                <w:sz w:val="18"/>
                <w:szCs w:val="18"/>
              </w:rPr>
              <w:lastRenderedPageBreak/>
              <w:t>97.39</w:t>
            </w:r>
          </w:p>
        </w:tc>
      </w:tr>
      <w:tr w:rsidR="00037019" w:rsidTr="006E5D7D">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原、色棉纤</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85,281,308.25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81,399,807.82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85,281,308.25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81,399,807.82</w:t>
            </w:r>
          </w:p>
        </w:tc>
      </w:tr>
      <w:tr w:rsidR="00037019" w:rsidTr="006E5D7D">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185,084.26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21,401.87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185,084.26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21,401.87</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按经营地区分类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6E5D7D">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境内销售</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522,707,909.71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485,616,583.21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522,707,909.71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485,616,583.21</w:t>
            </w:r>
          </w:p>
        </w:tc>
      </w:tr>
      <w:tr w:rsidR="00037019" w:rsidTr="006E5D7D">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境外销售</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市场或客户类型</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合同类型</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按商品转让的时间分类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6E5D7D">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在某一时点转让</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522,692,386.76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485,616,583.21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522,692,386.76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485,616,583.21</w:t>
            </w:r>
          </w:p>
        </w:tc>
      </w:tr>
      <w:tr w:rsidR="00037019" w:rsidTr="006E5D7D">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在某一时段内转让</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15,522.95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15,522.95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按合同期限分类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按销售渠道分类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522,707,909.71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424,899,507.08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522,707,909.71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424,899,507.08</w:t>
            </w:r>
          </w:p>
        </w:tc>
      </w:tr>
    </w:tbl>
    <w:p w:rsidR="00037019" w:rsidRDefault="00BE788E" w:rsidP="006E5D7D">
      <w:pPr>
        <w:rPr>
          <w:rFonts w:ascii="宋体" w:eastAsia="宋体" w:hAnsi="宋体" w:cs="宋体"/>
          <w:sz w:val="18"/>
          <w:szCs w:val="18"/>
        </w:rPr>
      </w:pPr>
      <w:r>
        <w:rPr>
          <w:rFonts w:ascii="宋体" w:eastAsia="宋体" w:hAnsi="宋体" w:cs="宋体"/>
          <w:sz w:val="18"/>
          <w:szCs w:val="18"/>
        </w:rPr>
        <w:t>其他说明</w:t>
      </w:r>
      <w:r w:rsidR="006E5D7D">
        <w:rPr>
          <w:rFonts w:ascii="宋体" w:eastAsia="宋体" w:hAnsi="宋体" w:cs="宋体"/>
          <w:sz w:val="18"/>
          <w:szCs w:val="18"/>
        </w:rPr>
        <w:t>：无</w:t>
      </w:r>
    </w:p>
    <w:p w:rsidR="00037019" w:rsidRDefault="00BE788E" w:rsidP="006E5D7D">
      <w:pPr>
        <w:rPr>
          <w:rFonts w:ascii="宋体" w:eastAsia="宋体" w:hAnsi="宋体" w:cs="宋体"/>
          <w:sz w:val="18"/>
          <w:szCs w:val="18"/>
        </w:rPr>
      </w:pPr>
      <w:r>
        <w:rPr>
          <w:rFonts w:ascii="宋体" w:eastAsia="宋体" w:hAnsi="宋体" w:cs="宋体"/>
          <w:sz w:val="18"/>
          <w:szCs w:val="18"/>
        </w:rPr>
        <w:t>与分摊至剩余履约义务的交易价格相关的信息：</w:t>
      </w:r>
    </w:p>
    <w:p w:rsidR="00037019" w:rsidRDefault="00BE788E" w:rsidP="006E5D7D">
      <w:pPr>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期末已</w:t>
      </w:r>
      <w:proofErr w:type="gramEnd"/>
      <w:r>
        <w:rPr>
          <w:rFonts w:ascii="宋体" w:eastAsia="宋体" w:hAnsi="宋体" w:cs="宋体"/>
          <w:sz w:val="18"/>
          <w:szCs w:val="18"/>
        </w:rPr>
        <w:t>签订合同、但尚未履行或尚未履行完毕的履约义务所对应的收入金额为0.00元，其中，元预计将于年度确认收入，元预计将于年度确认收入，元预计将于年度确认收入。</w:t>
      </w:r>
    </w:p>
    <w:p w:rsidR="00BE788E" w:rsidRPr="006E5D7D" w:rsidRDefault="00BE788E" w:rsidP="006E5D7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E5D7D">
        <w:rPr>
          <w:rFonts w:hint="eastAsia"/>
          <w:sz w:val="18"/>
          <w:szCs w:val="18"/>
        </w:rPr>
        <w:t>无</w:t>
      </w:r>
    </w:p>
    <w:p w:rsidR="00037019" w:rsidRDefault="00BE788E">
      <w:pPr>
        <w:pStyle w:val="3"/>
        <w:spacing w:line="280" w:lineRule="exact"/>
        <w:jc w:val="left"/>
        <w:rPr>
          <w:rFonts w:ascii="宋体" w:hAnsi="宋体" w:cs="宋体"/>
          <w:b/>
          <w:bCs/>
        </w:rPr>
      </w:pPr>
      <w:bookmarkStart w:id="400" w:name="_Toc989448"/>
      <w:r>
        <w:rPr>
          <w:rFonts w:ascii="宋体" w:hAnsi="宋体" w:cs="宋体"/>
          <w:b/>
          <w:bCs/>
        </w:rPr>
        <w:t>5、投资收益</w:t>
      </w:r>
      <w:bookmarkEnd w:id="40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交易性金融资产在持有期间的投资收益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-3,787,930.42</w:t>
            </w:r>
          </w:p>
        </w:tc>
      </w:tr>
      <w:tr w:rsidR="00037019" w:rsidTr="006E5D7D">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子公司分红取得的投资收益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4,868.14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138,581,720.51</w:t>
            </w:r>
          </w:p>
        </w:tc>
      </w:tr>
      <w:tr w:rsidR="00037019" w:rsidTr="006E5D7D">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理财产品收益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835,995.55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840,863.69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134,793,790.09</w:t>
            </w:r>
          </w:p>
        </w:tc>
      </w:tr>
    </w:tbl>
    <w:p w:rsidR="00037019" w:rsidRDefault="00BE788E">
      <w:pPr>
        <w:pStyle w:val="3"/>
        <w:spacing w:line="280" w:lineRule="exact"/>
        <w:jc w:val="left"/>
        <w:rPr>
          <w:rFonts w:ascii="宋体" w:hAnsi="宋体" w:cs="宋体"/>
          <w:b/>
          <w:bCs/>
        </w:rPr>
      </w:pPr>
      <w:bookmarkStart w:id="401" w:name="_Toc989449"/>
      <w:r>
        <w:rPr>
          <w:rFonts w:ascii="宋体" w:hAnsi="宋体" w:cs="宋体"/>
          <w:b/>
          <w:bCs/>
        </w:rPr>
        <w:lastRenderedPageBreak/>
        <w:t>6、其他</w:t>
      </w:r>
      <w:bookmarkEnd w:id="401"/>
    </w:p>
    <w:p w:rsidR="00BE788E" w:rsidRDefault="00BE788E">
      <w:pPr>
        <w:pStyle w:val="a3"/>
        <w:divId w:val="248730979"/>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402" w:name="_Toc989450"/>
      <w:r>
        <w:rPr>
          <w:rFonts w:ascii="宋体" w:eastAsia="宋体" w:hAnsi="宋体" w:cs="宋体"/>
          <w:b/>
          <w:bCs/>
          <w:sz w:val="24"/>
          <w:szCs w:val="24"/>
        </w:rPr>
        <w:t>二十、补充资料</w:t>
      </w:r>
      <w:bookmarkEnd w:id="402"/>
    </w:p>
    <w:p w:rsidR="00037019" w:rsidRDefault="00BE788E">
      <w:pPr>
        <w:pStyle w:val="3"/>
        <w:spacing w:line="280" w:lineRule="exact"/>
        <w:jc w:val="left"/>
        <w:rPr>
          <w:rFonts w:ascii="宋体" w:hAnsi="宋体" w:cs="宋体"/>
          <w:b/>
          <w:bCs/>
        </w:rPr>
      </w:pPr>
      <w:bookmarkStart w:id="403" w:name="_Toc989451"/>
      <w:r>
        <w:rPr>
          <w:rFonts w:ascii="宋体" w:hAnsi="宋体" w:cs="宋体"/>
          <w:b/>
          <w:bCs/>
        </w:rPr>
        <w:t>1、当期非经常性损益明细表</w:t>
      </w:r>
      <w:bookmarkEnd w:id="403"/>
    </w:p>
    <w:p w:rsidR="00037019" w:rsidRDefault="00BE788E">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487"/>
        <w:gridCol w:w="1576"/>
        <w:gridCol w:w="1576"/>
      </w:tblGrid>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说明</w:t>
            </w: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非流动性资产处置损益</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2,283,404.49</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计入当期损益的政府补助（与公司正常经营业务密切相关、符合国家政策规定、按照确定的标准享有、对公司损益产生持续影响的政府补助除外）</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38,234,349.53</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除同公司正常经营业务相关的有效套期保值业务外，非金融企业持有金融资产和金融负债产生的公允价值变动损益以及处置金融资产和金融负债产生的损益</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26,220,063.42</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委托他人投资或管理资产的损益</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3,860,116.40</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除上述各项之外的其他营业外收入和支出</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-1,092,940.65</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减：所得税影响额</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13,960,571.09</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少数股东权益影响额（税后）</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1,754,058.27</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53,790,363.83</w:t>
            </w:r>
          </w:p>
        </w:tc>
        <w:tc>
          <w:tcPr>
            <w:tcW w:w="1576"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其他符合非经常性损益定义的损益项目的具体情况：</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公司不存在其他符合非经常性损益定义的损益项目的具体情况。</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将《公开发行证券的公司信息披露解释性公告第1号——非经常性损益》中列举的非经常性损益项目界定为经常性损益项目的情况说明</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404" w:name="_Toc989452"/>
      <w:r>
        <w:rPr>
          <w:rFonts w:ascii="宋体" w:hAnsi="宋体" w:cs="宋体"/>
          <w:b/>
          <w:bCs/>
        </w:rPr>
        <w:t>2、净资产收益率及每股收益</w:t>
      </w:r>
      <w:bookmarkEnd w:id="404"/>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报告期利润</w:t>
            </w:r>
          </w:p>
        </w:tc>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加权平均净资产收益率</w:t>
            </w:r>
          </w:p>
        </w:tc>
        <w:tc>
          <w:tcPr>
            <w:tcW w:w="482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每股收益</w:t>
            </w:r>
          </w:p>
        </w:tc>
      </w:tr>
      <w:tr w:rsidR="00037019">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基本每股收益（元/股）</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稀释每股收益（元/股）</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0.73%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0.03</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扣除非经常性损益后归属于公司普通股股东的净利润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-0.15%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-0.01</w:t>
            </w:r>
          </w:p>
        </w:tc>
      </w:tr>
    </w:tbl>
    <w:p w:rsidR="00037019" w:rsidRDefault="00BE788E">
      <w:pPr>
        <w:pStyle w:val="3"/>
        <w:spacing w:line="280" w:lineRule="exact"/>
        <w:jc w:val="left"/>
        <w:rPr>
          <w:rFonts w:ascii="宋体" w:hAnsi="宋体" w:cs="宋体"/>
          <w:b/>
          <w:bCs/>
        </w:rPr>
      </w:pPr>
      <w:bookmarkStart w:id="405" w:name="_Toc989453"/>
      <w:r>
        <w:rPr>
          <w:rFonts w:ascii="宋体" w:hAnsi="宋体" w:cs="宋体"/>
          <w:b/>
          <w:bCs/>
        </w:rPr>
        <w:t>3、境内外会计准则下会计数据差异</w:t>
      </w:r>
      <w:bookmarkEnd w:id="405"/>
    </w:p>
    <w:p w:rsidR="00037019" w:rsidRDefault="00BE788E">
      <w:pPr>
        <w:keepNext/>
        <w:keepLines/>
        <w:spacing w:before="300" w:after="300" w:line="280" w:lineRule="exact"/>
        <w:outlineLvl w:val="3"/>
        <w:rPr>
          <w:rFonts w:ascii="宋体" w:eastAsia="宋体" w:hAnsi="宋体" w:cs="宋体"/>
          <w:b/>
          <w:bCs/>
          <w:szCs w:val="21"/>
        </w:rPr>
      </w:pPr>
      <w:bookmarkStart w:id="406" w:name="_Toc989454"/>
      <w:r>
        <w:rPr>
          <w:rFonts w:ascii="宋体" w:eastAsia="宋体" w:hAnsi="宋体" w:cs="宋体"/>
          <w:b/>
          <w:bCs/>
          <w:szCs w:val="21"/>
        </w:rPr>
        <w:t>（1） 同时按照国际会计准则与按中国会计准则披露的财务</w:t>
      </w:r>
      <w:proofErr w:type="gramStart"/>
      <w:r>
        <w:rPr>
          <w:rFonts w:ascii="宋体" w:eastAsia="宋体" w:hAnsi="宋体" w:cs="宋体"/>
          <w:b/>
          <w:bCs/>
          <w:szCs w:val="21"/>
        </w:rPr>
        <w:t>报告中净利润</w:t>
      </w:r>
      <w:proofErr w:type="gramEnd"/>
      <w:r>
        <w:rPr>
          <w:rFonts w:ascii="宋体" w:eastAsia="宋体" w:hAnsi="宋体" w:cs="宋体"/>
          <w:b/>
          <w:bCs/>
          <w:szCs w:val="21"/>
        </w:rPr>
        <w:t>和净资产差异情况</w:t>
      </w:r>
      <w:bookmarkEnd w:id="406"/>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407" w:name="_Toc989455"/>
      <w:r>
        <w:rPr>
          <w:rFonts w:ascii="宋体" w:eastAsia="宋体" w:hAnsi="宋体" w:cs="宋体"/>
          <w:b/>
          <w:bCs/>
          <w:szCs w:val="21"/>
        </w:rPr>
        <w:lastRenderedPageBreak/>
        <w:t>（2） 同时按照境外会计准则与按中国会计准则披露的财务</w:t>
      </w:r>
      <w:proofErr w:type="gramStart"/>
      <w:r>
        <w:rPr>
          <w:rFonts w:ascii="宋体" w:eastAsia="宋体" w:hAnsi="宋体" w:cs="宋体"/>
          <w:b/>
          <w:bCs/>
          <w:szCs w:val="21"/>
        </w:rPr>
        <w:t>报告中净利润</w:t>
      </w:r>
      <w:proofErr w:type="gramEnd"/>
      <w:r>
        <w:rPr>
          <w:rFonts w:ascii="宋体" w:eastAsia="宋体" w:hAnsi="宋体" w:cs="宋体"/>
          <w:b/>
          <w:bCs/>
          <w:szCs w:val="21"/>
        </w:rPr>
        <w:t>和净资产差异情况</w:t>
      </w:r>
      <w:bookmarkEnd w:id="407"/>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408" w:name="_Toc989456"/>
      <w:r>
        <w:rPr>
          <w:rFonts w:ascii="宋体" w:eastAsia="宋体" w:hAnsi="宋体" w:cs="宋体"/>
          <w:b/>
          <w:bCs/>
          <w:szCs w:val="21"/>
        </w:rPr>
        <w:t>（3） 境内外会计准则下会计数据差异原因说明，对已经境外审计机构审计的数据进行差异调节的，应注明该境外机构的名称</w:t>
      </w:r>
      <w:bookmarkEnd w:id="408"/>
    </w:p>
    <w:p w:rsidR="00037019" w:rsidRDefault="00BE788E">
      <w:pPr>
        <w:pStyle w:val="3"/>
        <w:spacing w:line="280" w:lineRule="exact"/>
        <w:jc w:val="left"/>
        <w:rPr>
          <w:rFonts w:ascii="宋体" w:hAnsi="宋体" w:cs="宋体"/>
          <w:b/>
          <w:bCs/>
        </w:rPr>
      </w:pPr>
      <w:bookmarkStart w:id="409" w:name="_Toc989457"/>
      <w:r>
        <w:rPr>
          <w:rFonts w:ascii="宋体" w:hAnsi="宋体" w:cs="宋体"/>
          <w:b/>
          <w:bCs/>
        </w:rPr>
        <w:t>4、其他</w:t>
      </w:r>
      <w:bookmarkEnd w:id="409"/>
    </w:p>
    <w:p w:rsidR="00BE788E" w:rsidRDefault="00BE788E">
      <w:pPr>
        <w:pStyle w:val="a3"/>
        <w:divId w:val="1722174453"/>
        <w:rPr>
          <w:sz w:val="18"/>
          <w:szCs w:val="18"/>
        </w:rPr>
      </w:pPr>
      <w:r>
        <w:rPr>
          <w:rFonts w:hint="eastAsia"/>
          <w:sz w:val="18"/>
          <w:szCs w:val="18"/>
        </w:rPr>
        <w:t>无。</w:t>
      </w:r>
    </w:p>
    <w:p w:rsidR="006E5D7D" w:rsidRDefault="006E5D7D" w:rsidP="006E5D7D">
      <w:pPr>
        <w:pStyle w:val="a3"/>
        <w:jc w:val="right"/>
        <w:divId w:val="1722174453"/>
        <w:rPr>
          <w:sz w:val="18"/>
          <w:szCs w:val="18"/>
        </w:rPr>
      </w:pPr>
      <w:r>
        <w:rPr>
          <w:rFonts w:hint="eastAsia"/>
          <w:sz w:val="18"/>
          <w:szCs w:val="18"/>
        </w:rPr>
        <w:t>华孚时尚股份有限公司</w:t>
      </w:r>
    </w:p>
    <w:p w:rsidR="006E5D7D" w:rsidRDefault="006E5D7D" w:rsidP="006E5D7D">
      <w:pPr>
        <w:pStyle w:val="a3"/>
        <w:jc w:val="right"/>
        <w:divId w:val="1722174453"/>
        <w:rPr>
          <w:sz w:val="18"/>
          <w:szCs w:val="18"/>
        </w:rPr>
      </w:pPr>
      <w:r>
        <w:rPr>
          <w:rFonts w:hint="eastAsia"/>
          <w:sz w:val="18"/>
          <w:szCs w:val="18"/>
        </w:rPr>
        <w:t>2024年8月31日</w:t>
      </w:r>
    </w:p>
    <w:sectPr w:rsidR="006E5D7D" w:rsidSect="00C67D9A">
      <w:headerReference w:type="default" r:id="rId9"/>
      <w:footerReference w:type="default" r:id="rId10"/>
      <w:pgSz w:w="11905" w:h="16840"/>
      <w:pgMar w:top="1440" w:right="1134" w:bottom="1560" w:left="1134" w:header="850"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09A" w:rsidRDefault="0003509A">
      <w:r>
        <w:separator/>
      </w:r>
    </w:p>
  </w:endnote>
  <w:endnote w:type="continuationSeparator" w:id="0">
    <w:p w:rsidR="0003509A" w:rsidRDefault="00035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09A" w:rsidRDefault="0003509A">
    <w:pPr>
      <w:pStyle w:val="fotter1"/>
    </w:pPr>
    <w:r>
      <w:fldChar w:fldCharType="begin"/>
    </w:r>
    <w:r>
      <w:instrText>PAGE   \* MERGEFORMAT</w:instrText>
    </w:r>
    <w:r>
      <w:fldChar w:fldCharType="separate"/>
    </w:r>
    <w:r w:rsidR="001F093A">
      <w:rPr>
        <w:noProof/>
      </w:rPr>
      <w:t>128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09A" w:rsidRDefault="0003509A">
      <w:r>
        <w:separator/>
      </w:r>
    </w:p>
  </w:footnote>
  <w:footnote w:type="continuationSeparator" w:id="0">
    <w:p w:rsidR="0003509A" w:rsidRDefault="00035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09A" w:rsidRDefault="0003509A">
    <w:pPr>
      <w:pStyle w:val="Header1"/>
      <w:pBdr>
        <w:bottom w:val="single" w:sz="6" w:space="1" w:color="auto"/>
      </w:pBdr>
    </w:pPr>
    <w:r>
      <w:t>华孚时尚股份有限公司2024年半年度报告全文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5074"/>
    <w:multiLevelType w:val="multilevel"/>
    <w:tmpl w:val="4D96DA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2E5810"/>
    <w:multiLevelType w:val="multilevel"/>
    <w:tmpl w:val="5A804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37978D6"/>
    <w:multiLevelType w:val="multilevel"/>
    <w:tmpl w:val="EF52AA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BE4DCD"/>
    <w:multiLevelType w:val="multilevel"/>
    <w:tmpl w:val="E60862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4182F7B"/>
    <w:multiLevelType w:val="multilevel"/>
    <w:tmpl w:val="96F6E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346907"/>
    <w:multiLevelType w:val="multilevel"/>
    <w:tmpl w:val="1166D1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5C03F60"/>
    <w:multiLevelType w:val="multilevel"/>
    <w:tmpl w:val="FE20B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88A4312"/>
    <w:multiLevelType w:val="multilevel"/>
    <w:tmpl w:val="873C9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8F70C6F"/>
    <w:multiLevelType w:val="multilevel"/>
    <w:tmpl w:val="57C0E4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1822D6"/>
    <w:multiLevelType w:val="multilevel"/>
    <w:tmpl w:val="3CA63F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006407"/>
    <w:multiLevelType w:val="multilevel"/>
    <w:tmpl w:val="340AD6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1F510CD"/>
    <w:multiLevelType w:val="multilevel"/>
    <w:tmpl w:val="740C88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2BD0FE1"/>
    <w:multiLevelType w:val="multilevel"/>
    <w:tmpl w:val="B0CAB1E2"/>
    <w:lvl w:ilvl="0">
      <w:start w:val="4"/>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4"/>
      <w:numFmt w:val="decimal"/>
      <w:lvlText w:val="%3."/>
      <w:lvlJc w:val="left"/>
      <w:pPr>
        <w:tabs>
          <w:tab w:val="num" w:pos="2160"/>
        </w:tabs>
        <w:ind w:left="2160" w:hanging="360"/>
      </w:pPr>
    </w:lvl>
    <w:lvl w:ilvl="3">
      <w:start w:val="4"/>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59E0055"/>
    <w:multiLevelType w:val="multilevel"/>
    <w:tmpl w:val="DD9685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6BA2302"/>
    <w:multiLevelType w:val="multilevel"/>
    <w:tmpl w:val="86E6A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94A7067"/>
    <w:multiLevelType w:val="multilevel"/>
    <w:tmpl w:val="CAE0B0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B291AB3"/>
    <w:multiLevelType w:val="multilevel"/>
    <w:tmpl w:val="FE56B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BC171E2"/>
    <w:multiLevelType w:val="multilevel"/>
    <w:tmpl w:val="8F0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1C075E17"/>
    <w:multiLevelType w:val="multilevel"/>
    <w:tmpl w:val="E21AA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C1577FB"/>
    <w:multiLevelType w:val="multilevel"/>
    <w:tmpl w:val="6A8260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D477139"/>
    <w:multiLevelType w:val="multilevel"/>
    <w:tmpl w:val="E0C6B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1DE51FCD"/>
    <w:multiLevelType w:val="multilevel"/>
    <w:tmpl w:val="47969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E23691D"/>
    <w:multiLevelType w:val="multilevel"/>
    <w:tmpl w:val="9B06D0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0ED4D85"/>
    <w:multiLevelType w:val="multilevel"/>
    <w:tmpl w:val="3C3E80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1EA3D68"/>
    <w:multiLevelType w:val="multilevel"/>
    <w:tmpl w:val="E2768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48E2190"/>
    <w:multiLevelType w:val="multilevel"/>
    <w:tmpl w:val="AA7E3E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6195842"/>
    <w:multiLevelType w:val="multilevel"/>
    <w:tmpl w:val="4CBC48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755181E"/>
    <w:multiLevelType w:val="multilevel"/>
    <w:tmpl w:val="C9E00C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7E7771C"/>
    <w:multiLevelType w:val="multilevel"/>
    <w:tmpl w:val="A484F4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8755BCB"/>
    <w:multiLevelType w:val="multilevel"/>
    <w:tmpl w:val="8E700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975291F"/>
    <w:multiLevelType w:val="multilevel"/>
    <w:tmpl w:val="765414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9C5134C"/>
    <w:multiLevelType w:val="multilevel"/>
    <w:tmpl w:val="F9422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2B385180"/>
    <w:multiLevelType w:val="multilevel"/>
    <w:tmpl w:val="B6CE8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B7B3D62"/>
    <w:multiLevelType w:val="multilevel"/>
    <w:tmpl w:val="31B43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D7B7D1A"/>
    <w:multiLevelType w:val="multilevel"/>
    <w:tmpl w:val="3EB2B3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EBF0B84"/>
    <w:multiLevelType w:val="multilevel"/>
    <w:tmpl w:val="D19CD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15376F2"/>
    <w:multiLevelType w:val="multilevel"/>
    <w:tmpl w:val="CAFC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31E025B1"/>
    <w:multiLevelType w:val="multilevel"/>
    <w:tmpl w:val="659C85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20A5825"/>
    <w:multiLevelType w:val="multilevel"/>
    <w:tmpl w:val="740ED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2B470FD"/>
    <w:multiLevelType w:val="multilevel"/>
    <w:tmpl w:val="B6F8C1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2D12A8D"/>
    <w:multiLevelType w:val="multilevel"/>
    <w:tmpl w:val="362C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C5BBC"/>
    <w:multiLevelType w:val="multilevel"/>
    <w:tmpl w:val="0ADE4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4EF6D22"/>
    <w:multiLevelType w:val="multilevel"/>
    <w:tmpl w:val="156415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5FD6853"/>
    <w:multiLevelType w:val="multilevel"/>
    <w:tmpl w:val="028E47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70752B3"/>
    <w:multiLevelType w:val="multilevel"/>
    <w:tmpl w:val="C7E05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884712C"/>
    <w:multiLevelType w:val="multilevel"/>
    <w:tmpl w:val="CB9E21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9A7090D"/>
    <w:multiLevelType w:val="multilevel"/>
    <w:tmpl w:val="C0D40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B585DE3"/>
    <w:multiLevelType w:val="multilevel"/>
    <w:tmpl w:val="4C0822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3E905E93"/>
    <w:multiLevelType w:val="multilevel"/>
    <w:tmpl w:val="00003E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F0C780F"/>
    <w:multiLevelType w:val="multilevel"/>
    <w:tmpl w:val="4D2C0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F462E52"/>
    <w:multiLevelType w:val="multilevel"/>
    <w:tmpl w:val="5D5CF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3F7819BE"/>
    <w:multiLevelType w:val="multilevel"/>
    <w:tmpl w:val="99361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FB82FA0"/>
    <w:multiLevelType w:val="multilevel"/>
    <w:tmpl w:val="A4BA2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nsid w:val="403E489F"/>
    <w:multiLevelType w:val="multilevel"/>
    <w:tmpl w:val="63923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408F7E4C"/>
    <w:multiLevelType w:val="multilevel"/>
    <w:tmpl w:val="17DCD0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16504AA"/>
    <w:multiLevelType w:val="multilevel"/>
    <w:tmpl w:val="18025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17C04BF"/>
    <w:multiLevelType w:val="multilevel"/>
    <w:tmpl w:val="63A87B32"/>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220004D"/>
    <w:multiLevelType w:val="multilevel"/>
    <w:tmpl w:val="8668E1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28D67BB"/>
    <w:multiLevelType w:val="multilevel"/>
    <w:tmpl w:val="65A27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3572523"/>
    <w:multiLevelType w:val="multilevel"/>
    <w:tmpl w:val="C5CCA0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44A95ACE"/>
    <w:multiLevelType w:val="multilevel"/>
    <w:tmpl w:val="BE80D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46B7107C"/>
    <w:multiLevelType w:val="multilevel"/>
    <w:tmpl w:val="1E9A6E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472640CF"/>
    <w:multiLevelType w:val="multilevel"/>
    <w:tmpl w:val="0D0CB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48A80C46"/>
    <w:multiLevelType w:val="multilevel"/>
    <w:tmpl w:val="2A207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4A920909"/>
    <w:multiLevelType w:val="multilevel"/>
    <w:tmpl w:val="A0F20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4B1C3EF3"/>
    <w:multiLevelType w:val="multilevel"/>
    <w:tmpl w:val="5B16EB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B3D2447"/>
    <w:multiLevelType w:val="multilevel"/>
    <w:tmpl w:val="C4D4B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4D382D60"/>
    <w:multiLevelType w:val="multilevel"/>
    <w:tmpl w:val="102A9C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D3B100A"/>
    <w:multiLevelType w:val="multilevel"/>
    <w:tmpl w:val="E42615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4E3C2971"/>
    <w:multiLevelType w:val="multilevel"/>
    <w:tmpl w:val="324628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E5D131A"/>
    <w:multiLevelType w:val="multilevel"/>
    <w:tmpl w:val="13ACF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4F58335C"/>
    <w:multiLevelType w:val="multilevel"/>
    <w:tmpl w:val="30B88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4FB4635F"/>
    <w:multiLevelType w:val="multilevel"/>
    <w:tmpl w:val="F20C79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06E4C24"/>
    <w:multiLevelType w:val="multilevel"/>
    <w:tmpl w:val="726C1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0E76AB1"/>
    <w:multiLevelType w:val="multilevel"/>
    <w:tmpl w:val="A9582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53581D51"/>
    <w:multiLevelType w:val="multilevel"/>
    <w:tmpl w:val="DCECE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537D1D28"/>
    <w:multiLevelType w:val="multilevel"/>
    <w:tmpl w:val="91A270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53BE632C"/>
    <w:multiLevelType w:val="multilevel"/>
    <w:tmpl w:val="BAD4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54190537"/>
    <w:multiLevelType w:val="multilevel"/>
    <w:tmpl w:val="832CC2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5791296B"/>
    <w:multiLevelType w:val="multilevel"/>
    <w:tmpl w:val="705008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57EC53D5"/>
    <w:multiLevelType w:val="multilevel"/>
    <w:tmpl w:val="B4D27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nsid w:val="58404CAD"/>
    <w:multiLevelType w:val="multilevel"/>
    <w:tmpl w:val="B3763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587A7B86"/>
    <w:multiLevelType w:val="multilevel"/>
    <w:tmpl w:val="390AB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5B6B6E78"/>
    <w:multiLevelType w:val="multilevel"/>
    <w:tmpl w:val="9F5AA79E"/>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5D1C3AF7"/>
    <w:multiLevelType w:val="multilevel"/>
    <w:tmpl w:val="AC6072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5E7C0355"/>
    <w:multiLevelType w:val="multilevel"/>
    <w:tmpl w:val="F6D02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60045080"/>
    <w:multiLevelType w:val="multilevel"/>
    <w:tmpl w:val="138098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nsid w:val="62CB4666"/>
    <w:multiLevelType w:val="multilevel"/>
    <w:tmpl w:val="EDAC8A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BA2D09"/>
    <w:multiLevelType w:val="multilevel"/>
    <w:tmpl w:val="BF1C1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674A5291"/>
    <w:multiLevelType w:val="multilevel"/>
    <w:tmpl w:val="ADFACF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682524A6"/>
    <w:multiLevelType w:val="multilevel"/>
    <w:tmpl w:val="47804C14"/>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687D4B72"/>
    <w:multiLevelType w:val="multilevel"/>
    <w:tmpl w:val="11D6A7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9B87CB7"/>
    <w:multiLevelType w:val="multilevel"/>
    <w:tmpl w:val="BBDC8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nsid w:val="70C05485"/>
    <w:multiLevelType w:val="multilevel"/>
    <w:tmpl w:val="6BA4F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710634E2"/>
    <w:multiLevelType w:val="multilevel"/>
    <w:tmpl w:val="08D66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nsid w:val="71255798"/>
    <w:multiLevelType w:val="multilevel"/>
    <w:tmpl w:val="45F8C8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1D3741E"/>
    <w:multiLevelType w:val="multilevel"/>
    <w:tmpl w:val="04BAA590"/>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26B33C1"/>
    <w:multiLevelType w:val="multilevel"/>
    <w:tmpl w:val="6AD61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29E79A5"/>
    <w:multiLevelType w:val="multilevel"/>
    <w:tmpl w:val="E9D89E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72E579E0"/>
    <w:multiLevelType w:val="multilevel"/>
    <w:tmpl w:val="A9CA5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33A43C8"/>
    <w:multiLevelType w:val="multilevel"/>
    <w:tmpl w:val="1D0CD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3974568"/>
    <w:multiLevelType w:val="multilevel"/>
    <w:tmpl w:val="E1C83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747B620F"/>
    <w:multiLevelType w:val="multilevel"/>
    <w:tmpl w:val="3034C1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nsid w:val="76C8156F"/>
    <w:multiLevelType w:val="multilevel"/>
    <w:tmpl w:val="FA9AA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nsid w:val="77856EB6"/>
    <w:multiLevelType w:val="multilevel"/>
    <w:tmpl w:val="00307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795C04AA"/>
    <w:multiLevelType w:val="multilevel"/>
    <w:tmpl w:val="442EE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7ABC5F39"/>
    <w:multiLevelType w:val="multilevel"/>
    <w:tmpl w:val="A7E46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nsid w:val="7C9C4A8F"/>
    <w:multiLevelType w:val="multilevel"/>
    <w:tmpl w:val="46EC5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7DCE0A93"/>
    <w:multiLevelType w:val="multilevel"/>
    <w:tmpl w:val="922871D2"/>
    <w:lvl w:ilvl="0">
      <w:start w:val="3"/>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3"/>
      <w:numFmt w:val="decimal"/>
      <w:lvlText w:val="%3."/>
      <w:lvlJc w:val="left"/>
      <w:pPr>
        <w:tabs>
          <w:tab w:val="num" w:pos="2160"/>
        </w:tabs>
        <w:ind w:left="2160" w:hanging="360"/>
      </w:pPr>
    </w:lvl>
    <w:lvl w:ilvl="3">
      <w:start w:val="3"/>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7DEB795C"/>
    <w:multiLevelType w:val="multilevel"/>
    <w:tmpl w:val="32B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61"/>
  </w:num>
  <w:num w:numId="3">
    <w:abstractNumId w:val="91"/>
  </w:num>
  <w:num w:numId="4">
    <w:abstractNumId w:val="34"/>
  </w:num>
  <w:num w:numId="5">
    <w:abstractNumId w:val="58"/>
  </w:num>
  <w:num w:numId="6">
    <w:abstractNumId w:val="30"/>
  </w:num>
  <w:num w:numId="7">
    <w:abstractNumId w:val="27"/>
  </w:num>
  <w:num w:numId="8">
    <w:abstractNumId w:val="109"/>
  </w:num>
  <w:num w:numId="9">
    <w:abstractNumId w:val="31"/>
  </w:num>
  <w:num w:numId="10">
    <w:abstractNumId w:val="94"/>
  </w:num>
  <w:num w:numId="11">
    <w:abstractNumId w:val="106"/>
  </w:num>
  <w:num w:numId="12">
    <w:abstractNumId w:val="35"/>
  </w:num>
  <w:num w:numId="13">
    <w:abstractNumId w:val="102"/>
  </w:num>
  <w:num w:numId="14">
    <w:abstractNumId w:val="37"/>
  </w:num>
  <w:num w:numId="15">
    <w:abstractNumId w:val="86"/>
  </w:num>
  <w:num w:numId="16">
    <w:abstractNumId w:val="88"/>
  </w:num>
  <w:num w:numId="17">
    <w:abstractNumId w:val="5"/>
  </w:num>
  <w:num w:numId="18">
    <w:abstractNumId w:val="81"/>
  </w:num>
  <w:num w:numId="19">
    <w:abstractNumId w:val="105"/>
  </w:num>
  <w:num w:numId="20">
    <w:abstractNumId w:val="64"/>
  </w:num>
  <w:num w:numId="21">
    <w:abstractNumId w:val="77"/>
  </w:num>
  <w:num w:numId="22">
    <w:abstractNumId w:val="40"/>
  </w:num>
  <w:num w:numId="23">
    <w:abstractNumId w:val="21"/>
  </w:num>
  <w:num w:numId="24">
    <w:abstractNumId w:val="49"/>
  </w:num>
  <w:num w:numId="25">
    <w:abstractNumId w:val="63"/>
  </w:num>
  <w:num w:numId="26">
    <w:abstractNumId w:val="98"/>
  </w:num>
  <w:num w:numId="27">
    <w:abstractNumId w:val="16"/>
  </w:num>
  <w:num w:numId="28">
    <w:abstractNumId w:val="71"/>
  </w:num>
  <w:num w:numId="29">
    <w:abstractNumId w:val="85"/>
  </w:num>
  <w:num w:numId="30">
    <w:abstractNumId w:val="66"/>
  </w:num>
  <w:num w:numId="31">
    <w:abstractNumId w:val="10"/>
  </w:num>
  <w:num w:numId="32">
    <w:abstractNumId w:val="62"/>
  </w:num>
  <w:num w:numId="33">
    <w:abstractNumId w:val="87"/>
  </w:num>
  <w:num w:numId="34">
    <w:abstractNumId w:val="44"/>
  </w:num>
  <w:num w:numId="35">
    <w:abstractNumId w:val="74"/>
  </w:num>
  <w:num w:numId="36">
    <w:abstractNumId w:val="38"/>
  </w:num>
  <w:num w:numId="37">
    <w:abstractNumId w:val="104"/>
  </w:num>
  <w:num w:numId="38">
    <w:abstractNumId w:val="7"/>
  </w:num>
  <w:num w:numId="39">
    <w:abstractNumId w:val="82"/>
  </w:num>
  <w:num w:numId="40">
    <w:abstractNumId w:val="15"/>
  </w:num>
  <w:num w:numId="41">
    <w:abstractNumId w:val="8"/>
  </w:num>
  <w:num w:numId="42">
    <w:abstractNumId w:val="48"/>
  </w:num>
  <w:num w:numId="43">
    <w:abstractNumId w:val="99"/>
  </w:num>
  <w:num w:numId="44">
    <w:abstractNumId w:val="46"/>
  </w:num>
  <w:num w:numId="45">
    <w:abstractNumId w:val="41"/>
  </w:num>
  <w:num w:numId="46">
    <w:abstractNumId w:val="25"/>
  </w:num>
  <w:num w:numId="47">
    <w:abstractNumId w:val="93"/>
  </w:num>
  <w:num w:numId="48">
    <w:abstractNumId w:val="100"/>
  </w:num>
  <w:num w:numId="49">
    <w:abstractNumId w:val="9"/>
  </w:num>
  <w:num w:numId="50">
    <w:abstractNumId w:val="57"/>
  </w:num>
  <w:num w:numId="51">
    <w:abstractNumId w:val="20"/>
  </w:num>
  <w:num w:numId="52">
    <w:abstractNumId w:val="17"/>
  </w:num>
  <w:num w:numId="53">
    <w:abstractNumId w:val="36"/>
  </w:num>
  <w:num w:numId="54">
    <w:abstractNumId w:val="1"/>
  </w:num>
  <w:num w:numId="55">
    <w:abstractNumId w:val="83"/>
  </w:num>
  <w:num w:numId="56">
    <w:abstractNumId w:val="32"/>
  </w:num>
  <w:num w:numId="57">
    <w:abstractNumId w:val="42"/>
  </w:num>
  <w:num w:numId="58">
    <w:abstractNumId w:val="33"/>
  </w:num>
  <w:num w:numId="59">
    <w:abstractNumId w:val="54"/>
  </w:num>
  <w:num w:numId="60">
    <w:abstractNumId w:val="2"/>
  </w:num>
  <w:num w:numId="61">
    <w:abstractNumId w:val="28"/>
  </w:num>
  <w:num w:numId="62">
    <w:abstractNumId w:val="14"/>
  </w:num>
  <w:num w:numId="63">
    <w:abstractNumId w:val="43"/>
  </w:num>
  <w:num w:numId="64">
    <w:abstractNumId w:val="107"/>
  </w:num>
  <w:num w:numId="65">
    <w:abstractNumId w:val="47"/>
  </w:num>
  <w:num w:numId="66">
    <w:abstractNumId w:val="45"/>
  </w:num>
  <w:num w:numId="67">
    <w:abstractNumId w:val="75"/>
  </w:num>
  <w:num w:numId="68">
    <w:abstractNumId w:val="89"/>
  </w:num>
  <w:num w:numId="69">
    <w:abstractNumId w:val="96"/>
  </w:num>
  <w:num w:numId="70">
    <w:abstractNumId w:val="103"/>
  </w:num>
  <w:num w:numId="71">
    <w:abstractNumId w:val="50"/>
  </w:num>
  <w:num w:numId="72">
    <w:abstractNumId w:val="84"/>
  </w:num>
  <w:num w:numId="73">
    <w:abstractNumId w:val="56"/>
  </w:num>
  <w:num w:numId="74">
    <w:abstractNumId w:val="101"/>
  </w:num>
  <w:num w:numId="75">
    <w:abstractNumId w:val="39"/>
  </w:num>
  <w:num w:numId="76">
    <w:abstractNumId w:val="70"/>
  </w:num>
  <w:num w:numId="77">
    <w:abstractNumId w:val="68"/>
  </w:num>
  <w:num w:numId="78">
    <w:abstractNumId w:val="55"/>
  </w:num>
  <w:num w:numId="79">
    <w:abstractNumId w:val="95"/>
  </w:num>
  <w:num w:numId="80">
    <w:abstractNumId w:val="79"/>
  </w:num>
  <w:num w:numId="81">
    <w:abstractNumId w:val="11"/>
  </w:num>
  <w:num w:numId="82">
    <w:abstractNumId w:val="60"/>
  </w:num>
  <w:num w:numId="83">
    <w:abstractNumId w:val="19"/>
  </w:num>
  <w:num w:numId="84">
    <w:abstractNumId w:val="26"/>
  </w:num>
  <w:num w:numId="85">
    <w:abstractNumId w:val="73"/>
  </w:num>
  <w:num w:numId="86">
    <w:abstractNumId w:val="69"/>
  </w:num>
  <w:num w:numId="87">
    <w:abstractNumId w:val="90"/>
  </w:num>
  <w:num w:numId="88">
    <w:abstractNumId w:val="108"/>
  </w:num>
  <w:num w:numId="89">
    <w:abstractNumId w:val="12"/>
  </w:num>
  <w:num w:numId="90">
    <w:abstractNumId w:val="51"/>
  </w:num>
  <w:num w:numId="91">
    <w:abstractNumId w:val="3"/>
  </w:num>
  <w:num w:numId="92">
    <w:abstractNumId w:val="13"/>
  </w:num>
  <w:num w:numId="93">
    <w:abstractNumId w:val="18"/>
  </w:num>
  <w:num w:numId="94">
    <w:abstractNumId w:val="0"/>
  </w:num>
  <w:num w:numId="95">
    <w:abstractNumId w:val="72"/>
  </w:num>
  <w:num w:numId="96">
    <w:abstractNumId w:val="67"/>
  </w:num>
  <w:num w:numId="97">
    <w:abstractNumId w:val="22"/>
  </w:num>
  <w:num w:numId="98">
    <w:abstractNumId w:val="80"/>
  </w:num>
  <w:num w:numId="99">
    <w:abstractNumId w:val="92"/>
  </w:num>
  <w:num w:numId="100">
    <w:abstractNumId w:val="6"/>
  </w:num>
  <w:num w:numId="101">
    <w:abstractNumId w:val="65"/>
  </w:num>
  <w:num w:numId="102">
    <w:abstractNumId w:val="78"/>
  </w:num>
  <w:num w:numId="103">
    <w:abstractNumId w:val="76"/>
  </w:num>
  <w:num w:numId="104">
    <w:abstractNumId w:val="52"/>
  </w:num>
  <w:num w:numId="105">
    <w:abstractNumId w:val="53"/>
  </w:num>
  <w:num w:numId="106">
    <w:abstractNumId w:val="23"/>
  </w:num>
  <w:num w:numId="107">
    <w:abstractNumId w:val="59"/>
  </w:num>
  <w:num w:numId="108">
    <w:abstractNumId w:val="97"/>
  </w:num>
  <w:num w:numId="109">
    <w:abstractNumId w:val="29"/>
  </w:num>
  <w:num w:numId="110">
    <w:abstractNumId w:val="24"/>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
  <w:rsids>
    <w:rsidRoot w:val="00037019"/>
    <w:rsid w:val="0003509A"/>
    <w:rsid w:val="00037019"/>
    <w:rsid w:val="0004321C"/>
    <w:rsid w:val="00091CA9"/>
    <w:rsid w:val="000B4C2A"/>
    <w:rsid w:val="00132B02"/>
    <w:rsid w:val="001F093A"/>
    <w:rsid w:val="00223D69"/>
    <w:rsid w:val="002747D2"/>
    <w:rsid w:val="0031624D"/>
    <w:rsid w:val="00326F0C"/>
    <w:rsid w:val="00382FC5"/>
    <w:rsid w:val="003D672D"/>
    <w:rsid w:val="004A532F"/>
    <w:rsid w:val="004E7FBF"/>
    <w:rsid w:val="00505FB8"/>
    <w:rsid w:val="005F7252"/>
    <w:rsid w:val="00604E99"/>
    <w:rsid w:val="006B7DD1"/>
    <w:rsid w:val="006E5D7D"/>
    <w:rsid w:val="007539BF"/>
    <w:rsid w:val="00763A7A"/>
    <w:rsid w:val="008561C1"/>
    <w:rsid w:val="00897859"/>
    <w:rsid w:val="00903029"/>
    <w:rsid w:val="00916AA1"/>
    <w:rsid w:val="00940CBE"/>
    <w:rsid w:val="00A46FA3"/>
    <w:rsid w:val="00A57714"/>
    <w:rsid w:val="00AC0334"/>
    <w:rsid w:val="00AF3B62"/>
    <w:rsid w:val="00B362E5"/>
    <w:rsid w:val="00B566E0"/>
    <w:rsid w:val="00BC1A62"/>
    <w:rsid w:val="00BE50FA"/>
    <w:rsid w:val="00BE788E"/>
    <w:rsid w:val="00C34228"/>
    <w:rsid w:val="00C67D9A"/>
    <w:rsid w:val="00E860B2"/>
    <w:rsid w:val="00EB1417"/>
    <w:rsid w:val="00F34484"/>
    <w:rsid w:val="00F45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unhideWhenUsed/>
    <w:pPr>
      <w:widowControl/>
      <w:spacing w:before="100" w:beforeAutospacing="1" w:after="100" w:afterAutospacing="1"/>
    </w:pPr>
    <w:rPr>
      <w:rFonts w:ascii="宋体" w:eastAsia="宋体" w:hAnsi="宋体" w:cs="宋体"/>
      <w:kern w:val="0"/>
      <w:sz w:val="24"/>
      <w:szCs w:val="24"/>
    </w:rPr>
  </w:style>
  <w:style w:type="character" w:styleId="a4">
    <w:name w:val="Hyperlink"/>
    <w:basedOn w:val="a0"/>
    <w:uiPriority w:val="99"/>
    <w:semiHidden/>
    <w:unhideWhenUsed/>
    <w:rPr>
      <w:color w:val="0000FF"/>
      <w:u w:val="single"/>
    </w:rPr>
  </w:style>
  <w:style w:type="character" w:styleId="a5">
    <w:name w:val="Strong"/>
    <w:basedOn w:val="a0"/>
    <w:uiPriority w:val="22"/>
    <w:qFormat/>
    <w:rPr>
      <w:b/>
      <w:bCs/>
    </w:rPr>
  </w:style>
  <w:style w:type="character" w:customStyle="1" w:styleId="15">
    <w:name w:val="15"/>
    <w:basedOn w:val="a0"/>
  </w:style>
  <w:style w:type="paragraph" w:styleId="a6">
    <w:name w:val="header"/>
    <w:basedOn w:val="a"/>
    <w:link w:val="Char"/>
    <w:uiPriority w:val="99"/>
    <w:unhideWhenUsed/>
    <w:rsid w:val="009030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903029"/>
    <w:rPr>
      <w:sz w:val="18"/>
      <w:szCs w:val="18"/>
    </w:rPr>
  </w:style>
  <w:style w:type="paragraph" w:styleId="a7">
    <w:name w:val="footer"/>
    <w:basedOn w:val="a"/>
    <w:link w:val="Char0"/>
    <w:uiPriority w:val="99"/>
    <w:unhideWhenUsed/>
    <w:rsid w:val="00903029"/>
    <w:pPr>
      <w:tabs>
        <w:tab w:val="center" w:pos="4153"/>
        <w:tab w:val="right" w:pos="8306"/>
      </w:tabs>
      <w:snapToGrid w:val="0"/>
    </w:pPr>
    <w:rPr>
      <w:sz w:val="18"/>
      <w:szCs w:val="18"/>
    </w:rPr>
  </w:style>
  <w:style w:type="character" w:customStyle="1" w:styleId="Char0">
    <w:name w:val="页脚 Char"/>
    <w:basedOn w:val="a0"/>
    <w:link w:val="a7"/>
    <w:uiPriority w:val="99"/>
    <w:rsid w:val="00903029"/>
    <w:rPr>
      <w:sz w:val="18"/>
      <w:szCs w:val="18"/>
    </w:rPr>
  </w:style>
  <w:style w:type="paragraph" w:styleId="a8">
    <w:name w:val="Balloon Text"/>
    <w:basedOn w:val="a"/>
    <w:link w:val="Char1"/>
    <w:uiPriority w:val="99"/>
    <w:semiHidden/>
    <w:unhideWhenUsed/>
    <w:rsid w:val="00903029"/>
    <w:rPr>
      <w:sz w:val="18"/>
      <w:szCs w:val="18"/>
    </w:rPr>
  </w:style>
  <w:style w:type="character" w:customStyle="1" w:styleId="Char1">
    <w:name w:val="批注框文本 Char"/>
    <w:basedOn w:val="a0"/>
    <w:link w:val="a8"/>
    <w:uiPriority w:val="99"/>
    <w:semiHidden/>
    <w:rsid w:val="0090302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unhideWhenUsed/>
    <w:pPr>
      <w:widowControl/>
      <w:spacing w:before="100" w:beforeAutospacing="1" w:after="100" w:afterAutospacing="1"/>
    </w:pPr>
    <w:rPr>
      <w:rFonts w:ascii="宋体" w:eastAsia="宋体" w:hAnsi="宋体" w:cs="宋体"/>
      <w:kern w:val="0"/>
      <w:sz w:val="24"/>
      <w:szCs w:val="24"/>
    </w:rPr>
  </w:style>
  <w:style w:type="character" w:styleId="a4">
    <w:name w:val="Hyperlink"/>
    <w:basedOn w:val="a0"/>
    <w:uiPriority w:val="99"/>
    <w:semiHidden/>
    <w:unhideWhenUsed/>
    <w:rPr>
      <w:color w:val="0000FF"/>
      <w:u w:val="single"/>
    </w:rPr>
  </w:style>
  <w:style w:type="character" w:styleId="a5">
    <w:name w:val="Strong"/>
    <w:basedOn w:val="a0"/>
    <w:uiPriority w:val="22"/>
    <w:qFormat/>
    <w:rPr>
      <w:b/>
      <w:bCs/>
    </w:rPr>
  </w:style>
  <w:style w:type="character" w:customStyle="1" w:styleId="15">
    <w:name w:val="15"/>
    <w:basedOn w:val="a0"/>
  </w:style>
  <w:style w:type="paragraph" w:styleId="a6">
    <w:name w:val="header"/>
    <w:basedOn w:val="a"/>
    <w:link w:val="Char"/>
    <w:uiPriority w:val="99"/>
    <w:unhideWhenUsed/>
    <w:rsid w:val="009030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903029"/>
    <w:rPr>
      <w:sz w:val="18"/>
      <w:szCs w:val="18"/>
    </w:rPr>
  </w:style>
  <w:style w:type="paragraph" w:styleId="a7">
    <w:name w:val="footer"/>
    <w:basedOn w:val="a"/>
    <w:link w:val="Char0"/>
    <w:uiPriority w:val="99"/>
    <w:unhideWhenUsed/>
    <w:rsid w:val="00903029"/>
    <w:pPr>
      <w:tabs>
        <w:tab w:val="center" w:pos="4153"/>
        <w:tab w:val="right" w:pos="8306"/>
      </w:tabs>
      <w:snapToGrid w:val="0"/>
    </w:pPr>
    <w:rPr>
      <w:sz w:val="18"/>
      <w:szCs w:val="18"/>
    </w:rPr>
  </w:style>
  <w:style w:type="character" w:customStyle="1" w:styleId="Char0">
    <w:name w:val="页脚 Char"/>
    <w:basedOn w:val="a0"/>
    <w:link w:val="a7"/>
    <w:uiPriority w:val="99"/>
    <w:rsid w:val="00903029"/>
    <w:rPr>
      <w:sz w:val="18"/>
      <w:szCs w:val="18"/>
    </w:rPr>
  </w:style>
  <w:style w:type="paragraph" w:styleId="a8">
    <w:name w:val="Balloon Text"/>
    <w:basedOn w:val="a"/>
    <w:link w:val="Char1"/>
    <w:uiPriority w:val="99"/>
    <w:semiHidden/>
    <w:unhideWhenUsed/>
    <w:rsid w:val="00903029"/>
    <w:rPr>
      <w:sz w:val="18"/>
      <w:szCs w:val="18"/>
    </w:rPr>
  </w:style>
  <w:style w:type="character" w:customStyle="1" w:styleId="Char1">
    <w:name w:val="批注框文本 Char"/>
    <w:basedOn w:val="a0"/>
    <w:link w:val="a8"/>
    <w:uiPriority w:val="99"/>
    <w:semiHidden/>
    <w:rsid w:val="0090302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6952">
      <w:bodyDiv w:val="1"/>
      <w:marLeft w:val="0"/>
      <w:marRight w:val="0"/>
      <w:marTop w:val="0"/>
      <w:marBottom w:val="0"/>
      <w:divBdr>
        <w:top w:val="none" w:sz="0" w:space="0" w:color="auto"/>
        <w:left w:val="none" w:sz="0" w:space="0" w:color="auto"/>
        <w:bottom w:val="none" w:sz="0" w:space="0" w:color="auto"/>
        <w:right w:val="none" w:sz="0" w:space="0" w:color="auto"/>
      </w:divBdr>
    </w:div>
    <w:div w:id="6292361">
      <w:bodyDiv w:val="1"/>
      <w:marLeft w:val="0"/>
      <w:marRight w:val="0"/>
      <w:marTop w:val="0"/>
      <w:marBottom w:val="0"/>
      <w:divBdr>
        <w:top w:val="none" w:sz="0" w:space="0" w:color="auto"/>
        <w:left w:val="none" w:sz="0" w:space="0" w:color="auto"/>
        <w:bottom w:val="none" w:sz="0" w:space="0" w:color="auto"/>
        <w:right w:val="none" w:sz="0" w:space="0" w:color="auto"/>
      </w:divBdr>
    </w:div>
    <w:div w:id="15349217">
      <w:bodyDiv w:val="1"/>
      <w:marLeft w:val="0"/>
      <w:marRight w:val="0"/>
      <w:marTop w:val="0"/>
      <w:marBottom w:val="0"/>
      <w:divBdr>
        <w:top w:val="none" w:sz="0" w:space="0" w:color="auto"/>
        <w:left w:val="none" w:sz="0" w:space="0" w:color="auto"/>
        <w:bottom w:val="none" w:sz="0" w:space="0" w:color="auto"/>
        <w:right w:val="none" w:sz="0" w:space="0" w:color="auto"/>
      </w:divBdr>
    </w:div>
    <w:div w:id="22290996">
      <w:bodyDiv w:val="1"/>
      <w:marLeft w:val="0"/>
      <w:marRight w:val="0"/>
      <w:marTop w:val="0"/>
      <w:marBottom w:val="0"/>
      <w:divBdr>
        <w:top w:val="none" w:sz="0" w:space="0" w:color="auto"/>
        <w:left w:val="none" w:sz="0" w:space="0" w:color="auto"/>
        <w:bottom w:val="none" w:sz="0" w:space="0" w:color="auto"/>
        <w:right w:val="none" w:sz="0" w:space="0" w:color="auto"/>
      </w:divBdr>
    </w:div>
    <w:div w:id="22942829">
      <w:bodyDiv w:val="1"/>
      <w:marLeft w:val="0"/>
      <w:marRight w:val="0"/>
      <w:marTop w:val="0"/>
      <w:marBottom w:val="0"/>
      <w:divBdr>
        <w:top w:val="none" w:sz="0" w:space="0" w:color="auto"/>
        <w:left w:val="none" w:sz="0" w:space="0" w:color="auto"/>
        <w:bottom w:val="none" w:sz="0" w:space="0" w:color="auto"/>
        <w:right w:val="none" w:sz="0" w:space="0" w:color="auto"/>
      </w:divBdr>
    </w:div>
    <w:div w:id="31462548">
      <w:bodyDiv w:val="1"/>
      <w:marLeft w:val="0"/>
      <w:marRight w:val="0"/>
      <w:marTop w:val="0"/>
      <w:marBottom w:val="0"/>
      <w:divBdr>
        <w:top w:val="none" w:sz="0" w:space="0" w:color="auto"/>
        <w:left w:val="none" w:sz="0" w:space="0" w:color="auto"/>
        <w:bottom w:val="none" w:sz="0" w:space="0" w:color="auto"/>
        <w:right w:val="none" w:sz="0" w:space="0" w:color="auto"/>
      </w:divBdr>
    </w:div>
    <w:div w:id="32387804">
      <w:bodyDiv w:val="1"/>
      <w:marLeft w:val="0"/>
      <w:marRight w:val="0"/>
      <w:marTop w:val="0"/>
      <w:marBottom w:val="0"/>
      <w:divBdr>
        <w:top w:val="none" w:sz="0" w:space="0" w:color="auto"/>
        <w:left w:val="none" w:sz="0" w:space="0" w:color="auto"/>
        <w:bottom w:val="none" w:sz="0" w:space="0" w:color="auto"/>
        <w:right w:val="none" w:sz="0" w:space="0" w:color="auto"/>
      </w:divBdr>
    </w:div>
    <w:div w:id="35207124">
      <w:bodyDiv w:val="1"/>
      <w:marLeft w:val="0"/>
      <w:marRight w:val="0"/>
      <w:marTop w:val="0"/>
      <w:marBottom w:val="0"/>
      <w:divBdr>
        <w:top w:val="none" w:sz="0" w:space="0" w:color="auto"/>
        <w:left w:val="none" w:sz="0" w:space="0" w:color="auto"/>
        <w:bottom w:val="none" w:sz="0" w:space="0" w:color="auto"/>
        <w:right w:val="none" w:sz="0" w:space="0" w:color="auto"/>
      </w:divBdr>
    </w:div>
    <w:div w:id="39596949">
      <w:bodyDiv w:val="1"/>
      <w:marLeft w:val="0"/>
      <w:marRight w:val="0"/>
      <w:marTop w:val="0"/>
      <w:marBottom w:val="0"/>
      <w:divBdr>
        <w:top w:val="none" w:sz="0" w:space="0" w:color="auto"/>
        <w:left w:val="none" w:sz="0" w:space="0" w:color="auto"/>
        <w:bottom w:val="none" w:sz="0" w:space="0" w:color="auto"/>
        <w:right w:val="none" w:sz="0" w:space="0" w:color="auto"/>
      </w:divBdr>
    </w:div>
    <w:div w:id="42800828">
      <w:bodyDiv w:val="1"/>
      <w:marLeft w:val="0"/>
      <w:marRight w:val="0"/>
      <w:marTop w:val="0"/>
      <w:marBottom w:val="0"/>
      <w:divBdr>
        <w:top w:val="none" w:sz="0" w:space="0" w:color="auto"/>
        <w:left w:val="none" w:sz="0" w:space="0" w:color="auto"/>
        <w:bottom w:val="none" w:sz="0" w:space="0" w:color="auto"/>
        <w:right w:val="none" w:sz="0" w:space="0" w:color="auto"/>
      </w:divBdr>
    </w:div>
    <w:div w:id="46493132">
      <w:bodyDiv w:val="1"/>
      <w:marLeft w:val="0"/>
      <w:marRight w:val="0"/>
      <w:marTop w:val="0"/>
      <w:marBottom w:val="0"/>
      <w:divBdr>
        <w:top w:val="none" w:sz="0" w:space="0" w:color="auto"/>
        <w:left w:val="none" w:sz="0" w:space="0" w:color="auto"/>
        <w:bottom w:val="none" w:sz="0" w:space="0" w:color="auto"/>
        <w:right w:val="none" w:sz="0" w:space="0" w:color="auto"/>
      </w:divBdr>
    </w:div>
    <w:div w:id="60180415">
      <w:bodyDiv w:val="1"/>
      <w:marLeft w:val="0"/>
      <w:marRight w:val="0"/>
      <w:marTop w:val="0"/>
      <w:marBottom w:val="0"/>
      <w:divBdr>
        <w:top w:val="none" w:sz="0" w:space="0" w:color="auto"/>
        <w:left w:val="none" w:sz="0" w:space="0" w:color="auto"/>
        <w:bottom w:val="none" w:sz="0" w:space="0" w:color="auto"/>
        <w:right w:val="none" w:sz="0" w:space="0" w:color="auto"/>
      </w:divBdr>
    </w:div>
    <w:div w:id="60257324">
      <w:bodyDiv w:val="1"/>
      <w:marLeft w:val="0"/>
      <w:marRight w:val="0"/>
      <w:marTop w:val="0"/>
      <w:marBottom w:val="0"/>
      <w:divBdr>
        <w:top w:val="none" w:sz="0" w:space="0" w:color="auto"/>
        <w:left w:val="none" w:sz="0" w:space="0" w:color="auto"/>
        <w:bottom w:val="none" w:sz="0" w:space="0" w:color="auto"/>
        <w:right w:val="none" w:sz="0" w:space="0" w:color="auto"/>
      </w:divBdr>
    </w:div>
    <w:div w:id="80495786">
      <w:bodyDiv w:val="1"/>
      <w:marLeft w:val="0"/>
      <w:marRight w:val="0"/>
      <w:marTop w:val="0"/>
      <w:marBottom w:val="0"/>
      <w:divBdr>
        <w:top w:val="none" w:sz="0" w:space="0" w:color="auto"/>
        <w:left w:val="none" w:sz="0" w:space="0" w:color="auto"/>
        <w:bottom w:val="none" w:sz="0" w:space="0" w:color="auto"/>
        <w:right w:val="none" w:sz="0" w:space="0" w:color="auto"/>
      </w:divBdr>
    </w:div>
    <w:div w:id="84306440">
      <w:bodyDiv w:val="1"/>
      <w:marLeft w:val="0"/>
      <w:marRight w:val="0"/>
      <w:marTop w:val="0"/>
      <w:marBottom w:val="0"/>
      <w:divBdr>
        <w:top w:val="none" w:sz="0" w:space="0" w:color="auto"/>
        <w:left w:val="none" w:sz="0" w:space="0" w:color="auto"/>
        <w:bottom w:val="none" w:sz="0" w:space="0" w:color="auto"/>
        <w:right w:val="none" w:sz="0" w:space="0" w:color="auto"/>
      </w:divBdr>
    </w:div>
    <w:div w:id="95171836">
      <w:bodyDiv w:val="1"/>
      <w:marLeft w:val="0"/>
      <w:marRight w:val="0"/>
      <w:marTop w:val="0"/>
      <w:marBottom w:val="0"/>
      <w:divBdr>
        <w:top w:val="none" w:sz="0" w:space="0" w:color="auto"/>
        <w:left w:val="none" w:sz="0" w:space="0" w:color="auto"/>
        <w:bottom w:val="none" w:sz="0" w:space="0" w:color="auto"/>
        <w:right w:val="none" w:sz="0" w:space="0" w:color="auto"/>
      </w:divBdr>
    </w:div>
    <w:div w:id="107434693">
      <w:bodyDiv w:val="1"/>
      <w:marLeft w:val="0"/>
      <w:marRight w:val="0"/>
      <w:marTop w:val="0"/>
      <w:marBottom w:val="0"/>
      <w:divBdr>
        <w:top w:val="none" w:sz="0" w:space="0" w:color="auto"/>
        <w:left w:val="none" w:sz="0" w:space="0" w:color="auto"/>
        <w:bottom w:val="none" w:sz="0" w:space="0" w:color="auto"/>
        <w:right w:val="none" w:sz="0" w:space="0" w:color="auto"/>
      </w:divBdr>
    </w:div>
    <w:div w:id="107623304">
      <w:bodyDiv w:val="1"/>
      <w:marLeft w:val="0"/>
      <w:marRight w:val="0"/>
      <w:marTop w:val="0"/>
      <w:marBottom w:val="0"/>
      <w:divBdr>
        <w:top w:val="none" w:sz="0" w:space="0" w:color="auto"/>
        <w:left w:val="none" w:sz="0" w:space="0" w:color="auto"/>
        <w:bottom w:val="none" w:sz="0" w:space="0" w:color="auto"/>
        <w:right w:val="none" w:sz="0" w:space="0" w:color="auto"/>
      </w:divBdr>
    </w:div>
    <w:div w:id="116679010">
      <w:bodyDiv w:val="1"/>
      <w:marLeft w:val="0"/>
      <w:marRight w:val="0"/>
      <w:marTop w:val="0"/>
      <w:marBottom w:val="0"/>
      <w:divBdr>
        <w:top w:val="none" w:sz="0" w:space="0" w:color="auto"/>
        <w:left w:val="none" w:sz="0" w:space="0" w:color="auto"/>
        <w:bottom w:val="none" w:sz="0" w:space="0" w:color="auto"/>
        <w:right w:val="none" w:sz="0" w:space="0" w:color="auto"/>
      </w:divBdr>
    </w:div>
    <w:div w:id="116948859">
      <w:bodyDiv w:val="1"/>
      <w:marLeft w:val="0"/>
      <w:marRight w:val="0"/>
      <w:marTop w:val="0"/>
      <w:marBottom w:val="0"/>
      <w:divBdr>
        <w:top w:val="none" w:sz="0" w:space="0" w:color="auto"/>
        <w:left w:val="none" w:sz="0" w:space="0" w:color="auto"/>
        <w:bottom w:val="none" w:sz="0" w:space="0" w:color="auto"/>
        <w:right w:val="none" w:sz="0" w:space="0" w:color="auto"/>
      </w:divBdr>
    </w:div>
    <w:div w:id="127675274">
      <w:bodyDiv w:val="1"/>
      <w:marLeft w:val="0"/>
      <w:marRight w:val="0"/>
      <w:marTop w:val="0"/>
      <w:marBottom w:val="0"/>
      <w:divBdr>
        <w:top w:val="none" w:sz="0" w:space="0" w:color="auto"/>
        <w:left w:val="none" w:sz="0" w:space="0" w:color="auto"/>
        <w:bottom w:val="none" w:sz="0" w:space="0" w:color="auto"/>
        <w:right w:val="none" w:sz="0" w:space="0" w:color="auto"/>
      </w:divBdr>
    </w:div>
    <w:div w:id="131752302">
      <w:bodyDiv w:val="1"/>
      <w:marLeft w:val="0"/>
      <w:marRight w:val="0"/>
      <w:marTop w:val="0"/>
      <w:marBottom w:val="0"/>
      <w:divBdr>
        <w:top w:val="none" w:sz="0" w:space="0" w:color="auto"/>
        <w:left w:val="none" w:sz="0" w:space="0" w:color="auto"/>
        <w:bottom w:val="none" w:sz="0" w:space="0" w:color="auto"/>
        <w:right w:val="none" w:sz="0" w:space="0" w:color="auto"/>
      </w:divBdr>
    </w:div>
    <w:div w:id="132216868">
      <w:bodyDiv w:val="1"/>
      <w:marLeft w:val="0"/>
      <w:marRight w:val="0"/>
      <w:marTop w:val="0"/>
      <w:marBottom w:val="0"/>
      <w:divBdr>
        <w:top w:val="none" w:sz="0" w:space="0" w:color="auto"/>
        <w:left w:val="none" w:sz="0" w:space="0" w:color="auto"/>
        <w:bottom w:val="none" w:sz="0" w:space="0" w:color="auto"/>
        <w:right w:val="none" w:sz="0" w:space="0" w:color="auto"/>
      </w:divBdr>
    </w:div>
    <w:div w:id="136381045">
      <w:bodyDiv w:val="1"/>
      <w:marLeft w:val="0"/>
      <w:marRight w:val="0"/>
      <w:marTop w:val="0"/>
      <w:marBottom w:val="0"/>
      <w:divBdr>
        <w:top w:val="none" w:sz="0" w:space="0" w:color="auto"/>
        <w:left w:val="none" w:sz="0" w:space="0" w:color="auto"/>
        <w:bottom w:val="none" w:sz="0" w:space="0" w:color="auto"/>
        <w:right w:val="none" w:sz="0" w:space="0" w:color="auto"/>
      </w:divBdr>
    </w:div>
    <w:div w:id="161238219">
      <w:bodyDiv w:val="1"/>
      <w:marLeft w:val="0"/>
      <w:marRight w:val="0"/>
      <w:marTop w:val="0"/>
      <w:marBottom w:val="0"/>
      <w:divBdr>
        <w:top w:val="none" w:sz="0" w:space="0" w:color="auto"/>
        <w:left w:val="none" w:sz="0" w:space="0" w:color="auto"/>
        <w:bottom w:val="none" w:sz="0" w:space="0" w:color="auto"/>
        <w:right w:val="none" w:sz="0" w:space="0" w:color="auto"/>
      </w:divBdr>
    </w:div>
    <w:div w:id="161506700">
      <w:bodyDiv w:val="1"/>
      <w:marLeft w:val="0"/>
      <w:marRight w:val="0"/>
      <w:marTop w:val="0"/>
      <w:marBottom w:val="0"/>
      <w:divBdr>
        <w:top w:val="none" w:sz="0" w:space="0" w:color="auto"/>
        <w:left w:val="none" w:sz="0" w:space="0" w:color="auto"/>
        <w:bottom w:val="none" w:sz="0" w:space="0" w:color="auto"/>
        <w:right w:val="none" w:sz="0" w:space="0" w:color="auto"/>
      </w:divBdr>
    </w:div>
    <w:div w:id="163932885">
      <w:bodyDiv w:val="1"/>
      <w:marLeft w:val="0"/>
      <w:marRight w:val="0"/>
      <w:marTop w:val="0"/>
      <w:marBottom w:val="0"/>
      <w:divBdr>
        <w:top w:val="none" w:sz="0" w:space="0" w:color="auto"/>
        <w:left w:val="none" w:sz="0" w:space="0" w:color="auto"/>
        <w:bottom w:val="none" w:sz="0" w:space="0" w:color="auto"/>
        <w:right w:val="none" w:sz="0" w:space="0" w:color="auto"/>
      </w:divBdr>
    </w:div>
    <w:div w:id="190337311">
      <w:bodyDiv w:val="1"/>
      <w:marLeft w:val="0"/>
      <w:marRight w:val="0"/>
      <w:marTop w:val="0"/>
      <w:marBottom w:val="0"/>
      <w:divBdr>
        <w:top w:val="none" w:sz="0" w:space="0" w:color="auto"/>
        <w:left w:val="none" w:sz="0" w:space="0" w:color="auto"/>
        <w:bottom w:val="none" w:sz="0" w:space="0" w:color="auto"/>
        <w:right w:val="none" w:sz="0" w:space="0" w:color="auto"/>
      </w:divBdr>
    </w:div>
    <w:div w:id="191964611">
      <w:bodyDiv w:val="1"/>
      <w:marLeft w:val="0"/>
      <w:marRight w:val="0"/>
      <w:marTop w:val="0"/>
      <w:marBottom w:val="0"/>
      <w:divBdr>
        <w:top w:val="none" w:sz="0" w:space="0" w:color="auto"/>
        <w:left w:val="none" w:sz="0" w:space="0" w:color="auto"/>
        <w:bottom w:val="none" w:sz="0" w:space="0" w:color="auto"/>
        <w:right w:val="none" w:sz="0" w:space="0" w:color="auto"/>
      </w:divBdr>
    </w:div>
    <w:div w:id="200213941">
      <w:bodyDiv w:val="1"/>
      <w:marLeft w:val="0"/>
      <w:marRight w:val="0"/>
      <w:marTop w:val="0"/>
      <w:marBottom w:val="0"/>
      <w:divBdr>
        <w:top w:val="none" w:sz="0" w:space="0" w:color="auto"/>
        <w:left w:val="none" w:sz="0" w:space="0" w:color="auto"/>
        <w:bottom w:val="none" w:sz="0" w:space="0" w:color="auto"/>
        <w:right w:val="none" w:sz="0" w:space="0" w:color="auto"/>
      </w:divBdr>
    </w:div>
    <w:div w:id="202403609">
      <w:bodyDiv w:val="1"/>
      <w:marLeft w:val="0"/>
      <w:marRight w:val="0"/>
      <w:marTop w:val="0"/>
      <w:marBottom w:val="0"/>
      <w:divBdr>
        <w:top w:val="none" w:sz="0" w:space="0" w:color="auto"/>
        <w:left w:val="none" w:sz="0" w:space="0" w:color="auto"/>
        <w:bottom w:val="none" w:sz="0" w:space="0" w:color="auto"/>
        <w:right w:val="none" w:sz="0" w:space="0" w:color="auto"/>
      </w:divBdr>
    </w:div>
    <w:div w:id="204876810">
      <w:bodyDiv w:val="1"/>
      <w:marLeft w:val="0"/>
      <w:marRight w:val="0"/>
      <w:marTop w:val="0"/>
      <w:marBottom w:val="0"/>
      <w:divBdr>
        <w:top w:val="none" w:sz="0" w:space="0" w:color="auto"/>
        <w:left w:val="none" w:sz="0" w:space="0" w:color="auto"/>
        <w:bottom w:val="none" w:sz="0" w:space="0" w:color="auto"/>
        <w:right w:val="none" w:sz="0" w:space="0" w:color="auto"/>
      </w:divBdr>
    </w:div>
    <w:div w:id="206841309">
      <w:bodyDiv w:val="1"/>
      <w:marLeft w:val="0"/>
      <w:marRight w:val="0"/>
      <w:marTop w:val="0"/>
      <w:marBottom w:val="0"/>
      <w:divBdr>
        <w:top w:val="none" w:sz="0" w:space="0" w:color="auto"/>
        <w:left w:val="none" w:sz="0" w:space="0" w:color="auto"/>
        <w:bottom w:val="none" w:sz="0" w:space="0" w:color="auto"/>
        <w:right w:val="none" w:sz="0" w:space="0" w:color="auto"/>
      </w:divBdr>
    </w:div>
    <w:div w:id="208613945">
      <w:bodyDiv w:val="1"/>
      <w:marLeft w:val="0"/>
      <w:marRight w:val="0"/>
      <w:marTop w:val="0"/>
      <w:marBottom w:val="0"/>
      <w:divBdr>
        <w:top w:val="none" w:sz="0" w:space="0" w:color="auto"/>
        <w:left w:val="none" w:sz="0" w:space="0" w:color="auto"/>
        <w:bottom w:val="none" w:sz="0" w:space="0" w:color="auto"/>
        <w:right w:val="none" w:sz="0" w:space="0" w:color="auto"/>
      </w:divBdr>
    </w:div>
    <w:div w:id="210774894">
      <w:bodyDiv w:val="1"/>
      <w:marLeft w:val="0"/>
      <w:marRight w:val="0"/>
      <w:marTop w:val="0"/>
      <w:marBottom w:val="0"/>
      <w:divBdr>
        <w:top w:val="none" w:sz="0" w:space="0" w:color="auto"/>
        <w:left w:val="none" w:sz="0" w:space="0" w:color="auto"/>
        <w:bottom w:val="none" w:sz="0" w:space="0" w:color="auto"/>
        <w:right w:val="none" w:sz="0" w:space="0" w:color="auto"/>
      </w:divBdr>
    </w:div>
    <w:div w:id="214320391">
      <w:bodyDiv w:val="1"/>
      <w:marLeft w:val="0"/>
      <w:marRight w:val="0"/>
      <w:marTop w:val="0"/>
      <w:marBottom w:val="0"/>
      <w:divBdr>
        <w:top w:val="none" w:sz="0" w:space="0" w:color="auto"/>
        <w:left w:val="none" w:sz="0" w:space="0" w:color="auto"/>
        <w:bottom w:val="none" w:sz="0" w:space="0" w:color="auto"/>
        <w:right w:val="none" w:sz="0" w:space="0" w:color="auto"/>
      </w:divBdr>
    </w:div>
    <w:div w:id="221137369">
      <w:bodyDiv w:val="1"/>
      <w:marLeft w:val="0"/>
      <w:marRight w:val="0"/>
      <w:marTop w:val="0"/>
      <w:marBottom w:val="0"/>
      <w:divBdr>
        <w:top w:val="none" w:sz="0" w:space="0" w:color="auto"/>
        <w:left w:val="none" w:sz="0" w:space="0" w:color="auto"/>
        <w:bottom w:val="none" w:sz="0" w:space="0" w:color="auto"/>
        <w:right w:val="none" w:sz="0" w:space="0" w:color="auto"/>
      </w:divBdr>
    </w:div>
    <w:div w:id="230696224">
      <w:bodyDiv w:val="1"/>
      <w:marLeft w:val="0"/>
      <w:marRight w:val="0"/>
      <w:marTop w:val="0"/>
      <w:marBottom w:val="0"/>
      <w:divBdr>
        <w:top w:val="none" w:sz="0" w:space="0" w:color="auto"/>
        <w:left w:val="none" w:sz="0" w:space="0" w:color="auto"/>
        <w:bottom w:val="none" w:sz="0" w:space="0" w:color="auto"/>
        <w:right w:val="none" w:sz="0" w:space="0" w:color="auto"/>
      </w:divBdr>
    </w:div>
    <w:div w:id="238297469">
      <w:bodyDiv w:val="1"/>
      <w:marLeft w:val="0"/>
      <w:marRight w:val="0"/>
      <w:marTop w:val="0"/>
      <w:marBottom w:val="0"/>
      <w:divBdr>
        <w:top w:val="none" w:sz="0" w:space="0" w:color="auto"/>
        <w:left w:val="none" w:sz="0" w:space="0" w:color="auto"/>
        <w:bottom w:val="none" w:sz="0" w:space="0" w:color="auto"/>
        <w:right w:val="none" w:sz="0" w:space="0" w:color="auto"/>
      </w:divBdr>
    </w:div>
    <w:div w:id="238948692">
      <w:bodyDiv w:val="1"/>
      <w:marLeft w:val="0"/>
      <w:marRight w:val="0"/>
      <w:marTop w:val="0"/>
      <w:marBottom w:val="0"/>
      <w:divBdr>
        <w:top w:val="none" w:sz="0" w:space="0" w:color="auto"/>
        <w:left w:val="none" w:sz="0" w:space="0" w:color="auto"/>
        <w:bottom w:val="none" w:sz="0" w:space="0" w:color="auto"/>
        <w:right w:val="none" w:sz="0" w:space="0" w:color="auto"/>
      </w:divBdr>
    </w:div>
    <w:div w:id="248730979">
      <w:bodyDiv w:val="1"/>
      <w:marLeft w:val="0"/>
      <w:marRight w:val="0"/>
      <w:marTop w:val="0"/>
      <w:marBottom w:val="0"/>
      <w:divBdr>
        <w:top w:val="none" w:sz="0" w:space="0" w:color="auto"/>
        <w:left w:val="none" w:sz="0" w:space="0" w:color="auto"/>
        <w:bottom w:val="none" w:sz="0" w:space="0" w:color="auto"/>
        <w:right w:val="none" w:sz="0" w:space="0" w:color="auto"/>
      </w:divBdr>
    </w:div>
    <w:div w:id="253709291">
      <w:bodyDiv w:val="1"/>
      <w:marLeft w:val="0"/>
      <w:marRight w:val="0"/>
      <w:marTop w:val="0"/>
      <w:marBottom w:val="0"/>
      <w:divBdr>
        <w:top w:val="none" w:sz="0" w:space="0" w:color="auto"/>
        <w:left w:val="none" w:sz="0" w:space="0" w:color="auto"/>
        <w:bottom w:val="none" w:sz="0" w:space="0" w:color="auto"/>
        <w:right w:val="none" w:sz="0" w:space="0" w:color="auto"/>
      </w:divBdr>
    </w:div>
    <w:div w:id="259677499">
      <w:bodyDiv w:val="1"/>
      <w:marLeft w:val="0"/>
      <w:marRight w:val="0"/>
      <w:marTop w:val="0"/>
      <w:marBottom w:val="0"/>
      <w:divBdr>
        <w:top w:val="none" w:sz="0" w:space="0" w:color="auto"/>
        <w:left w:val="none" w:sz="0" w:space="0" w:color="auto"/>
        <w:bottom w:val="none" w:sz="0" w:space="0" w:color="auto"/>
        <w:right w:val="none" w:sz="0" w:space="0" w:color="auto"/>
      </w:divBdr>
    </w:div>
    <w:div w:id="265505386">
      <w:bodyDiv w:val="1"/>
      <w:marLeft w:val="0"/>
      <w:marRight w:val="0"/>
      <w:marTop w:val="0"/>
      <w:marBottom w:val="0"/>
      <w:divBdr>
        <w:top w:val="none" w:sz="0" w:space="0" w:color="auto"/>
        <w:left w:val="none" w:sz="0" w:space="0" w:color="auto"/>
        <w:bottom w:val="none" w:sz="0" w:space="0" w:color="auto"/>
        <w:right w:val="none" w:sz="0" w:space="0" w:color="auto"/>
      </w:divBdr>
    </w:div>
    <w:div w:id="275256083">
      <w:bodyDiv w:val="1"/>
      <w:marLeft w:val="0"/>
      <w:marRight w:val="0"/>
      <w:marTop w:val="0"/>
      <w:marBottom w:val="0"/>
      <w:divBdr>
        <w:top w:val="none" w:sz="0" w:space="0" w:color="auto"/>
        <w:left w:val="none" w:sz="0" w:space="0" w:color="auto"/>
        <w:bottom w:val="none" w:sz="0" w:space="0" w:color="auto"/>
        <w:right w:val="none" w:sz="0" w:space="0" w:color="auto"/>
      </w:divBdr>
    </w:div>
    <w:div w:id="281614749">
      <w:bodyDiv w:val="1"/>
      <w:marLeft w:val="0"/>
      <w:marRight w:val="0"/>
      <w:marTop w:val="0"/>
      <w:marBottom w:val="0"/>
      <w:divBdr>
        <w:top w:val="none" w:sz="0" w:space="0" w:color="auto"/>
        <w:left w:val="none" w:sz="0" w:space="0" w:color="auto"/>
        <w:bottom w:val="none" w:sz="0" w:space="0" w:color="auto"/>
        <w:right w:val="none" w:sz="0" w:space="0" w:color="auto"/>
      </w:divBdr>
    </w:div>
    <w:div w:id="294063862">
      <w:bodyDiv w:val="1"/>
      <w:marLeft w:val="0"/>
      <w:marRight w:val="0"/>
      <w:marTop w:val="0"/>
      <w:marBottom w:val="0"/>
      <w:divBdr>
        <w:top w:val="none" w:sz="0" w:space="0" w:color="auto"/>
        <w:left w:val="none" w:sz="0" w:space="0" w:color="auto"/>
        <w:bottom w:val="none" w:sz="0" w:space="0" w:color="auto"/>
        <w:right w:val="none" w:sz="0" w:space="0" w:color="auto"/>
      </w:divBdr>
    </w:div>
    <w:div w:id="309096906">
      <w:bodyDiv w:val="1"/>
      <w:marLeft w:val="0"/>
      <w:marRight w:val="0"/>
      <w:marTop w:val="0"/>
      <w:marBottom w:val="0"/>
      <w:divBdr>
        <w:top w:val="none" w:sz="0" w:space="0" w:color="auto"/>
        <w:left w:val="none" w:sz="0" w:space="0" w:color="auto"/>
        <w:bottom w:val="none" w:sz="0" w:space="0" w:color="auto"/>
        <w:right w:val="none" w:sz="0" w:space="0" w:color="auto"/>
      </w:divBdr>
    </w:div>
    <w:div w:id="309410905">
      <w:bodyDiv w:val="1"/>
      <w:marLeft w:val="0"/>
      <w:marRight w:val="0"/>
      <w:marTop w:val="0"/>
      <w:marBottom w:val="0"/>
      <w:divBdr>
        <w:top w:val="none" w:sz="0" w:space="0" w:color="auto"/>
        <w:left w:val="none" w:sz="0" w:space="0" w:color="auto"/>
        <w:bottom w:val="none" w:sz="0" w:space="0" w:color="auto"/>
        <w:right w:val="none" w:sz="0" w:space="0" w:color="auto"/>
      </w:divBdr>
    </w:div>
    <w:div w:id="319236287">
      <w:bodyDiv w:val="1"/>
      <w:marLeft w:val="0"/>
      <w:marRight w:val="0"/>
      <w:marTop w:val="0"/>
      <w:marBottom w:val="0"/>
      <w:divBdr>
        <w:top w:val="none" w:sz="0" w:space="0" w:color="auto"/>
        <w:left w:val="none" w:sz="0" w:space="0" w:color="auto"/>
        <w:bottom w:val="none" w:sz="0" w:space="0" w:color="auto"/>
        <w:right w:val="none" w:sz="0" w:space="0" w:color="auto"/>
      </w:divBdr>
    </w:div>
    <w:div w:id="335766252">
      <w:bodyDiv w:val="1"/>
      <w:marLeft w:val="0"/>
      <w:marRight w:val="0"/>
      <w:marTop w:val="0"/>
      <w:marBottom w:val="0"/>
      <w:divBdr>
        <w:top w:val="none" w:sz="0" w:space="0" w:color="auto"/>
        <w:left w:val="none" w:sz="0" w:space="0" w:color="auto"/>
        <w:bottom w:val="none" w:sz="0" w:space="0" w:color="auto"/>
        <w:right w:val="none" w:sz="0" w:space="0" w:color="auto"/>
      </w:divBdr>
    </w:div>
    <w:div w:id="337657402">
      <w:bodyDiv w:val="1"/>
      <w:marLeft w:val="0"/>
      <w:marRight w:val="0"/>
      <w:marTop w:val="0"/>
      <w:marBottom w:val="0"/>
      <w:divBdr>
        <w:top w:val="none" w:sz="0" w:space="0" w:color="auto"/>
        <w:left w:val="none" w:sz="0" w:space="0" w:color="auto"/>
        <w:bottom w:val="none" w:sz="0" w:space="0" w:color="auto"/>
        <w:right w:val="none" w:sz="0" w:space="0" w:color="auto"/>
      </w:divBdr>
    </w:div>
    <w:div w:id="342559760">
      <w:bodyDiv w:val="1"/>
      <w:marLeft w:val="0"/>
      <w:marRight w:val="0"/>
      <w:marTop w:val="0"/>
      <w:marBottom w:val="0"/>
      <w:divBdr>
        <w:top w:val="none" w:sz="0" w:space="0" w:color="auto"/>
        <w:left w:val="none" w:sz="0" w:space="0" w:color="auto"/>
        <w:bottom w:val="none" w:sz="0" w:space="0" w:color="auto"/>
        <w:right w:val="none" w:sz="0" w:space="0" w:color="auto"/>
      </w:divBdr>
    </w:div>
    <w:div w:id="345714401">
      <w:bodyDiv w:val="1"/>
      <w:marLeft w:val="0"/>
      <w:marRight w:val="0"/>
      <w:marTop w:val="0"/>
      <w:marBottom w:val="0"/>
      <w:divBdr>
        <w:top w:val="none" w:sz="0" w:space="0" w:color="auto"/>
        <w:left w:val="none" w:sz="0" w:space="0" w:color="auto"/>
        <w:bottom w:val="none" w:sz="0" w:space="0" w:color="auto"/>
        <w:right w:val="none" w:sz="0" w:space="0" w:color="auto"/>
      </w:divBdr>
    </w:div>
    <w:div w:id="363675421">
      <w:bodyDiv w:val="1"/>
      <w:marLeft w:val="0"/>
      <w:marRight w:val="0"/>
      <w:marTop w:val="0"/>
      <w:marBottom w:val="0"/>
      <w:divBdr>
        <w:top w:val="none" w:sz="0" w:space="0" w:color="auto"/>
        <w:left w:val="none" w:sz="0" w:space="0" w:color="auto"/>
        <w:bottom w:val="none" w:sz="0" w:space="0" w:color="auto"/>
        <w:right w:val="none" w:sz="0" w:space="0" w:color="auto"/>
      </w:divBdr>
    </w:div>
    <w:div w:id="371424788">
      <w:bodyDiv w:val="1"/>
      <w:marLeft w:val="0"/>
      <w:marRight w:val="0"/>
      <w:marTop w:val="0"/>
      <w:marBottom w:val="0"/>
      <w:divBdr>
        <w:top w:val="none" w:sz="0" w:space="0" w:color="auto"/>
        <w:left w:val="none" w:sz="0" w:space="0" w:color="auto"/>
        <w:bottom w:val="none" w:sz="0" w:space="0" w:color="auto"/>
        <w:right w:val="none" w:sz="0" w:space="0" w:color="auto"/>
      </w:divBdr>
    </w:div>
    <w:div w:id="385104147">
      <w:bodyDiv w:val="1"/>
      <w:marLeft w:val="0"/>
      <w:marRight w:val="0"/>
      <w:marTop w:val="0"/>
      <w:marBottom w:val="0"/>
      <w:divBdr>
        <w:top w:val="none" w:sz="0" w:space="0" w:color="auto"/>
        <w:left w:val="none" w:sz="0" w:space="0" w:color="auto"/>
        <w:bottom w:val="none" w:sz="0" w:space="0" w:color="auto"/>
        <w:right w:val="none" w:sz="0" w:space="0" w:color="auto"/>
      </w:divBdr>
    </w:div>
    <w:div w:id="387188480">
      <w:bodyDiv w:val="1"/>
      <w:marLeft w:val="0"/>
      <w:marRight w:val="0"/>
      <w:marTop w:val="0"/>
      <w:marBottom w:val="0"/>
      <w:divBdr>
        <w:top w:val="none" w:sz="0" w:space="0" w:color="auto"/>
        <w:left w:val="none" w:sz="0" w:space="0" w:color="auto"/>
        <w:bottom w:val="none" w:sz="0" w:space="0" w:color="auto"/>
        <w:right w:val="none" w:sz="0" w:space="0" w:color="auto"/>
      </w:divBdr>
    </w:div>
    <w:div w:id="388649103">
      <w:bodyDiv w:val="1"/>
      <w:marLeft w:val="0"/>
      <w:marRight w:val="0"/>
      <w:marTop w:val="0"/>
      <w:marBottom w:val="0"/>
      <w:divBdr>
        <w:top w:val="none" w:sz="0" w:space="0" w:color="auto"/>
        <w:left w:val="none" w:sz="0" w:space="0" w:color="auto"/>
        <w:bottom w:val="none" w:sz="0" w:space="0" w:color="auto"/>
        <w:right w:val="none" w:sz="0" w:space="0" w:color="auto"/>
      </w:divBdr>
    </w:div>
    <w:div w:id="391000898">
      <w:bodyDiv w:val="1"/>
      <w:marLeft w:val="0"/>
      <w:marRight w:val="0"/>
      <w:marTop w:val="0"/>
      <w:marBottom w:val="0"/>
      <w:divBdr>
        <w:top w:val="none" w:sz="0" w:space="0" w:color="auto"/>
        <w:left w:val="none" w:sz="0" w:space="0" w:color="auto"/>
        <w:bottom w:val="none" w:sz="0" w:space="0" w:color="auto"/>
        <w:right w:val="none" w:sz="0" w:space="0" w:color="auto"/>
      </w:divBdr>
    </w:div>
    <w:div w:id="394939146">
      <w:bodyDiv w:val="1"/>
      <w:marLeft w:val="0"/>
      <w:marRight w:val="0"/>
      <w:marTop w:val="0"/>
      <w:marBottom w:val="0"/>
      <w:divBdr>
        <w:top w:val="none" w:sz="0" w:space="0" w:color="auto"/>
        <w:left w:val="none" w:sz="0" w:space="0" w:color="auto"/>
        <w:bottom w:val="none" w:sz="0" w:space="0" w:color="auto"/>
        <w:right w:val="none" w:sz="0" w:space="0" w:color="auto"/>
      </w:divBdr>
    </w:div>
    <w:div w:id="400174489">
      <w:bodyDiv w:val="1"/>
      <w:marLeft w:val="0"/>
      <w:marRight w:val="0"/>
      <w:marTop w:val="0"/>
      <w:marBottom w:val="0"/>
      <w:divBdr>
        <w:top w:val="none" w:sz="0" w:space="0" w:color="auto"/>
        <w:left w:val="none" w:sz="0" w:space="0" w:color="auto"/>
        <w:bottom w:val="none" w:sz="0" w:space="0" w:color="auto"/>
        <w:right w:val="none" w:sz="0" w:space="0" w:color="auto"/>
      </w:divBdr>
    </w:div>
    <w:div w:id="419496799">
      <w:bodyDiv w:val="1"/>
      <w:marLeft w:val="0"/>
      <w:marRight w:val="0"/>
      <w:marTop w:val="0"/>
      <w:marBottom w:val="0"/>
      <w:divBdr>
        <w:top w:val="none" w:sz="0" w:space="0" w:color="auto"/>
        <w:left w:val="none" w:sz="0" w:space="0" w:color="auto"/>
        <w:bottom w:val="none" w:sz="0" w:space="0" w:color="auto"/>
        <w:right w:val="none" w:sz="0" w:space="0" w:color="auto"/>
      </w:divBdr>
    </w:div>
    <w:div w:id="419914388">
      <w:bodyDiv w:val="1"/>
      <w:marLeft w:val="0"/>
      <w:marRight w:val="0"/>
      <w:marTop w:val="0"/>
      <w:marBottom w:val="0"/>
      <w:divBdr>
        <w:top w:val="none" w:sz="0" w:space="0" w:color="auto"/>
        <w:left w:val="none" w:sz="0" w:space="0" w:color="auto"/>
        <w:bottom w:val="none" w:sz="0" w:space="0" w:color="auto"/>
        <w:right w:val="none" w:sz="0" w:space="0" w:color="auto"/>
      </w:divBdr>
    </w:div>
    <w:div w:id="420179201">
      <w:bodyDiv w:val="1"/>
      <w:marLeft w:val="0"/>
      <w:marRight w:val="0"/>
      <w:marTop w:val="0"/>
      <w:marBottom w:val="0"/>
      <w:divBdr>
        <w:top w:val="none" w:sz="0" w:space="0" w:color="auto"/>
        <w:left w:val="none" w:sz="0" w:space="0" w:color="auto"/>
        <w:bottom w:val="none" w:sz="0" w:space="0" w:color="auto"/>
        <w:right w:val="none" w:sz="0" w:space="0" w:color="auto"/>
      </w:divBdr>
    </w:div>
    <w:div w:id="420444714">
      <w:bodyDiv w:val="1"/>
      <w:marLeft w:val="0"/>
      <w:marRight w:val="0"/>
      <w:marTop w:val="0"/>
      <w:marBottom w:val="0"/>
      <w:divBdr>
        <w:top w:val="none" w:sz="0" w:space="0" w:color="auto"/>
        <w:left w:val="none" w:sz="0" w:space="0" w:color="auto"/>
        <w:bottom w:val="none" w:sz="0" w:space="0" w:color="auto"/>
        <w:right w:val="none" w:sz="0" w:space="0" w:color="auto"/>
      </w:divBdr>
    </w:div>
    <w:div w:id="426000497">
      <w:bodyDiv w:val="1"/>
      <w:marLeft w:val="0"/>
      <w:marRight w:val="0"/>
      <w:marTop w:val="0"/>
      <w:marBottom w:val="0"/>
      <w:divBdr>
        <w:top w:val="none" w:sz="0" w:space="0" w:color="auto"/>
        <w:left w:val="none" w:sz="0" w:space="0" w:color="auto"/>
        <w:bottom w:val="none" w:sz="0" w:space="0" w:color="auto"/>
        <w:right w:val="none" w:sz="0" w:space="0" w:color="auto"/>
      </w:divBdr>
    </w:div>
    <w:div w:id="428623092">
      <w:bodyDiv w:val="1"/>
      <w:marLeft w:val="0"/>
      <w:marRight w:val="0"/>
      <w:marTop w:val="0"/>
      <w:marBottom w:val="0"/>
      <w:divBdr>
        <w:top w:val="none" w:sz="0" w:space="0" w:color="auto"/>
        <w:left w:val="none" w:sz="0" w:space="0" w:color="auto"/>
        <w:bottom w:val="none" w:sz="0" w:space="0" w:color="auto"/>
        <w:right w:val="none" w:sz="0" w:space="0" w:color="auto"/>
      </w:divBdr>
    </w:div>
    <w:div w:id="430395881">
      <w:bodyDiv w:val="1"/>
      <w:marLeft w:val="0"/>
      <w:marRight w:val="0"/>
      <w:marTop w:val="0"/>
      <w:marBottom w:val="0"/>
      <w:divBdr>
        <w:top w:val="none" w:sz="0" w:space="0" w:color="auto"/>
        <w:left w:val="none" w:sz="0" w:space="0" w:color="auto"/>
        <w:bottom w:val="none" w:sz="0" w:space="0" w:color="auto"/>
        <w:right w:val="none" w:sz="0" w:space="0" w:color="auto"/>
      </w:divBdr>
    </w:div>
    <w:div w:id="441346089">
      <w:bodyDiv w:val="1"/>
      <w:marLeft w:val="0"/>
      <w:marRight w:val="0"/>
      <w:marTop w:val="0"/>
      <w:marBottom w:val="0"/>
      <w:divBdr>
        <w:top w:val="none" w:sz="0" w:space="0" w:color="auto"/>
        <w:left w:val="none" w:sz="0" w:space="0" w:color="auto"/>
        <w:bottom w:val="none" w:sz="0" w:space="0" w:color="auto"/>
        <w:right w:val="none" w:sz="0" w:space="0" w:color="auto"/>
      </w:divBdr>
    </w:div>
    <w:div w:id="448403806">
      <w:bodyDiv w:val="1"/>
      <w:marLeft w:val="0"/>
      <w:marRight w:val="0"/>
      <w:marTop w:val="0"/>
      <w:marBottom w:val="0"/>
      <w:divBdr>
        <w:top w:val="none" w:sz="0" w:space="0" w:color="auto"/>
        <w:left w:val="none" w:sz="0" w:space="0" w:color="auto"/>
        <w:bottom w:val="none" w:sz="0" w:space="0" w:color="auto"/>
        <w:right w:val="none" w:sz="0" w:space="0" w:color="auto"/>
      </w:divBdr>
    </w:div>
    <w:div w:id="459228019">
      <w:bodyDiv w:val="1"/>
      <w:marLeft w:val="0"/>
      <w:marRight w:val="0"/>
      <w:marTop w:val="0"/>
      <w:marBottom w:val="0"/>
      <w:divBdr>
        <w:top w:val="none" w:sz="0" w:space="0" w:color="auto"/>
        <w:left w:val="none" w:sz="0" w:space="0" w:color="auto"/>
        <w:bottom w:val="none" w:sz="0" w:space="0" w:color="auto"/>
        <w:right w:val="none" w:sz="0" w:space="0" w:color="auto"/>
      </w:divBdr>
    </w:div>
    <w:div w:id="464743060">
      <w:bodyDiv w:val="1"/>
      <w:marLeft w:val="0"/>
      <w:marRight w:val="0"/>
      <w:marTop w:val="0"/>
      <w:marBottom w:val="0"/>
      <w:divBdr>
        <w:top w:val="none" w:sz="0" w:space="0" w:color="auto"/>
        <w:left w:val="none" w:sz="0" w:space="0" w:color="auto"/>
        <w:bottom w:val="none" w:sz="0" w:space="0" w:color="auto"/>
        <w:right w:val="none" w:sz="0" w:space="0" w:color="auto"/>
      </w:divBdr>
    </w:div>
    <w:div w:id="473838716">
      <w:bodyDiv w:val="1"/>
      <w:marLeft w:val="0"/>
      <w:marRight w:val="0"/>
      <w:marTop w:val="0"/>
      <w:marBottom w:val="0"/>
      <w:divBdr>
        <w:top w:val="none" w:sz="0" w:space="0" w:color="auto"/>
        <w:left w:val="none" w:sz="0" w:space="0" w:color="auto"/>
        <w:bottom w:val="none" w:sz="0" w:space="0" w:color="auto"/>
        <w:right w:val="none" w:sz="0" w:space="0" w:color="auto"/>
      </w:divBdr>
    </w:div>
    <w:div w:id="482745204">
      <w:bodyDiv w:val="1"/>
      <w:marLeft w:val="0"/>
      <w:marRight w:val="0"/>
      <w:marTop w:val="0"/>
      <w:marBottom w:val="0"/>
      <w:divBdr>
        <w:top w:val="none" w:sz="0" w:space="0" w:color="auto"/>
        <w:left w:val="none" w:sz="0" w:space="0" w:color="auto"/>
        <w:bottom w:val="none" w:sz="0" w:space="0" w:color="auto"/>
        <w:right w:val="none" w:sz="0" w:space="0" w:color="auto"/>
      </w:divBdr>
    </w:div>
    <w:div w:id="488713606">
      <w:bodyDiv w:val="1"/>
      <w:marLeft w:val="0"/>
      <w:marRight w:val="0"/>
      <w:marTop w:val="0"/>
      <w:marBottom w:val="0"/>
      <w:divBdr>
        <w:top w:val="none" w:sz="0" w:space="0" w:color="auto"/>
        <w:left w:val="none" w:sz="0" w:space="0" w:color="auto"/>
        <w:bottom w:val="none" w:sz="0" w:space="0" w:color="auto"/>
        <w:right w:val="none" w:sz="0" w:space="0" w:color="auto"/>
      </w:divBdr>
    </w:div>
    <w:div w:id="499124195">
      <w:bodyDiv w:val="1"/>
      <w:marLeft w:val="0"/>
      <w:marRight w:val="0"/>
      <w:marTop w:val="0"/>
      <w:marBottom w:val="0"/>
      <w:divBdr>
        <w:top w:val="none" w:sz="0" w:space="0" w:color="auto"/>
        <w:left w:val="none" w:sz="0" w:space="0" w:color="auto"/>
        <w:bottom w:val="none" w:sz="0" w:space="0" w:color="auto"/>
        <w:right w:val="none" w:sz="0" w:space="0" w:color="auto"/>
      </w:divBdr>
    </w:div>
    <w:div w:id="503054348">
      <w:bodyDiv w:val="1"/>
      <w:marLeft w:val="0"/>
      <w:marRight w:val="0"/>
      <w:marTop w:val="0"/>
      <w:marBottom w:val="0"/>
      <w:divBdr>
        <w:top w:val="none" w:sz="0" w:space="0" w:color="auto"/>
        <w:left w:val="none" w:sz="0" w:space="0" w:color="auto"/>
        <w:bottom w:val="none" w:sz="0" w:space="0" w:color="auto"/>
        <w:right w:val="none" w:sz="0" w:space="0" w:color="auto"/>
      </w:divBdr>
    </w:div>
    <w:div w:id="504637879">
      <w:bodyDiv w:val="1"/>
      <w:marLeft w:val="0"/>
      <w:marRight w:val="0"/>
      <w:marTop w:val="0"/>
      <w:marBottom w:val="0"/>
      <w:divBdr>
        <w:top w:val="none" w:sz="0" w:space="0" w:color="auto"/>
        <w:left w:val="none" w:sz="0" w:space="0" w:color="auto"/>
        <w:bottom w:val="none" w:sz="0" w:space="0" w:color="auto"/>
        <w:right w:val="none" w:sz="0" w:space="0" w:color="auto"/>
      </w:divBdr>
    </w:div>
    <w:div w:id="517349008">
      <w:bodyDiv w:val="1"/>
      <w:marLeft w:val="0"/>
      <w:marRight w:val="0"/>
      <w:marTop w:val="0"/>
      <w:marBottom w:val="0"/>
      <w:divBdr>
        <w:top w:val="none" w:sz="0" w:space="0" w:color="auto"/>
        <w:left w:val="none" w:sz="0" w:space="0" w:color="auto"/>
        <w:bottom w:val="none" w:sz="0" w:space="0" w:color="auto"/>
        <w:right w:val="none" w:sz="0" w:space="0" w:color="auto"/>
      </w:divBdr>
    </w:div>
    <w:div w:id="519587148">
      <w:bodyDiv w:val="1"/>
      <w:marLeft w:val="0"/>
      <w:marRight w:val="0"/>
      <w:marTop w:val="0"/>
      <w:marBottom w:val="0"/>
      <w:divBdr>
        <w:top w:val="none" w:sz="0" w:space="0" w:color="auto"/>
        <w:left w:val="none" w:sz="0" w:space="0" w:color="auto"/>
        <w:bottom w:val="none" w:sz="0" w:space="0" w:color="auto"/>
        <w:right w:val="none" w:sz="0" w:space="0" w:color="auto"/>
      </w:divBdr>
    </w:div>
    <w:div w:id="526598294">
      <w:bodyDiv w:val="1"/>
      <w:marLeft w:val="0"/>
      <w:marRight w:val="0"/>
      <w:marTop w:val="0"/>
      <w:marBottom w:val="0"/>
      <w:divBdr>
        <w:top w:val="none" w:sz="0" w:space="0" w:color="auto"/>
        <w:left w:val="none" w:sz="0" w:space="0" w:color="auto"/>
        <w:bottom w:val="none" w:sz="0" w:space="0" w:color="auto"/>
        <w:right w:val="none" w:sz="0" w:space="0" w:color="auto"/>
      </w:divBdr>
    </w:div>
    <w:div w:id="551308007">
      <w:bodyDiv w:val="1"/>
      <w:marLeft w:val="0"/>
      <w:marRight w:val="0"/>
      <w:marTop w:val="0"/>
      <w:marBottom w:val="0"/>
      <w:divBdr>
        <w:top w:val="none" w:sz="0" w:space="0" w:color="auto"/>
        <w:left w:val="none" w:sz="0" w:space="0" w:color="auto"/>
        <w:bottom w:val="none" w:sz="0" w:space="0" w:color="auto"/>
        <w:right w:val="none" w:sz="0" w:space="0" w:color="auto"/>
      </w:divBdr>
    </w:div>
    <w:div w:id="555243134">
      <w:bodyDiv w:val="1"/>
      <w:marLeft w:val="0"/>
      <w:marRight w:val="0"/>
      <w:marTop w:val="0"/>
      <w:marBottom w:val="0"/>
      <w:divBdr>
        <w:top w:val="none" w:sz="0" w:space="0" w:color="auto"/>
        <w:left w:val="none" w:sz="0" w:space="0" w:color="auto"/>
        <w:bottom w:val="none" w:sz="0" w:space="0" w:color="auto"/>
        <w:right w:val="none" w:sz="0" w:space="0" w:color="auto"/>
      </w:divBdr>
    </w:div>
    <w:div w:id="560166974">
      <w:bodyDiv w:val="1"/>
      <w:marLeft w:val="0"/>
      <w:marRight w:val="0"/>
      <w:marTop w:val="0"/>
      <w:marBottom w:val="0"/>
      <w:divBdr>
        <w:top w:val="none" w:sz="0" w:space="0" w:color="auto"/>
        <w:left w:val="none" w:sz="0" w:space="0" w:color="auto"/>
        <w:bottom w:val="none" w:sz="0" w:space="0" w:color="auto"/>
        <w:right w:val="none" w:sz="0" w:space="0" w:color="auto"/>
      </w:divBdr>
    </w:div>
    <w:div w:id="562840099">
      <w:bodyDiv w:val="1"/>
      <w:marLeft w:val="0"/>
      <w:marRight w:val="0"/>
      <w:marTop w:val="0"/>
      <w:marBottom w:val="0"/>
      <w:divBdr>
        <w:top w:val="none" w:sz="0" w:space="0" w:color="auto"/>
        <w:left w:val="none" w:sz="0" w:space="0" w:color="auto"/>
        <w:bottom w:val="none" w:sz="0" w:space="0" w:color="auto"/>
        <w:right w:val="none" w:sz="0" w:space="0" w:color="auto"/>
      </w:divBdr>
    </w:div>
    <w:div w:id="577253426">
      <w:bodyDiv w:val="1"/>
      <w:marLeft w:val="0"/>
      <w:marRight w:val="0"/>
      <w:marTop w:val="0"/>
      <w:marBottom w:val="0"/>
      <w:divBdr>
        <w:top w:val="none" w:sz="0" w:space="0" w:color="auto"/>
        <w:left w:val="none" w:sz="0" w:space="0" w:color="auto"/>
        <w:bottom w:val="none" w:sz="0" w:space="0" w:color="auto"/>
        <w:right w:val="none" w:sz="0" w:space="0" w:color="auto"/>
      </w:divBdr>
    </w:div>
    <w:div w:id="580331132">
      <w:bodyDiv w:val="1"/>
      <w:marLeft w:val="0"/>
      <w:marRight w:val="0"/>
      <w:marTop w:val="0"/>
      <w:marBottom w:val="0"/>
      <w:divBdr>
        <w:top w:val="none" w:sz="0" w:space="0" w:color="auto"/>
        <w:left w:val="none" w:sz="0" w:space="0" w:color="auto"/>
        <w:bottom w:val="none" w:sz="0" w:space="0" w:color="auto"/>
        <w:right w:val="none" w:sz="0" w:space="0" w:color="auto"/>
      </w:divBdr>
    </w:div>
    <w:div w:id="585727373">
      <w:bodyDiv w:val="1"/>
      <w:marLeft w:val="0"/>
      <w:marRight w:val="0"/>
      <w:marTop w:val="0"/>
      <w:marBottom w:val="0"/>
      <w:divBdr>
        <w:top w:val="none" w:sz="0" w:space="0" w:color="auto"/>
        <w:left w:val="none" w:sz="0" w:space="0" w:color="auto"/>
        <w:bottom w:val="none" w:sz="0" w:space="0" w:color="auto"/>
        <w:right w:val="none" w:sz="0" w:space="0" w:color="auto"/>
      </w:divBdr>
    </w:div>
    <w:div w:id="585924013">
      <w:bodyDiv w:val="1"/>
      <w:marLeft w:val="0"/>
      <w:marRight w:val="0"/>
      <w:marTop w:val="0"/>
      <w:marBottom w:val="0"/>
      <w:divBdr>
        <w:top w:val="none" w:sz="0" w:space="0" w:color="auto"/>
        <w:left w:val="none" w:sz="0" w:space="0" w:color="auto"/>
        <w:bottom w:val="none" w:sz="0" w:space="0" w:color="auto"/>
        <w:right w:val="none" w:sz="0" w:space="0" w:color="auto"/>
      </w:divBdr>
    </w:div>
    <w:div w:id="600838162">
      <w:bodyDiv w:val="1"/>
      <w:marLeft w:val="0"/>
      <w:marRight w:val="0"/>
      <w:marTop w:val="0"/>
      <w:marBottom w:val="0"/>
      <w:divBdr>
        <w:top w:val="none" w:sz="0" w:space="0" w:color="auto"/>
        <w:left w:val="none" w:sz="0" w:space="0" w:color="auto"/>
        <w:bottom w:val="none" w:sz="0" w:space="0" w:color="auto"/>
        <w:right w:val="none" w:sz="0" w:space="0" w:color="auto"/>
      </w:divBdr>
    </w:div>
    <w:div w:id="606667851">
      <w:bodyDiv w:val="1"/>
      <w:marLeft w:val="0"/>
      <w:marRight w:val="0"/>
      <w:marTop w:val="0"/>
      <w:marBottom w:val="0"/>
      <w:divBdr>
        <w:top w:val="none" w:sz="0" w:space="0" w:color="auto"/>
        <w:left w:val="none" w:sz="0" w:space="0" w:color="auto"/>
        <w:bottom w:val="none" w:sz="0" w:space="0" w:color="auto"/>
        <w:right w:val="none" w:sz="0" w:space="0" w:color="auto"/>
      </w:divBdr>
    </w:div>
    <w:div w:id="607926782">
      <w:bodyDiv w:val="1"/>
      <w:marLeft w:val="0"/>
      <w:marRight w:val="0"/>
      <w:marTop w:val="0"/>
      <w:marBottom w:val="0"/>
      <w:divBdr>
        <w:top w:val="none" w:sz="0" w:space="0" w:color="auto"/>
        <w:left w:val="none" w:sz="0" w:space="0" w:color="auto"/>
        <w:bottom w:val="none" w:sz="0" w:space="0" w:color="auto"/>
        <w:right w:val="none" w:sz="0" w:space="0" w:color="auto"/>
      </w:divBdr>
    </w:div>
    <w:div w:id="608389047">
      <w:bodyDiv w:val="1"/>
      <w:marLeft w:val="0"/>
      <w:marRight w:val="0"/>
      <w:marTop w:val="0"/>
      <w:marBottom w:val="0"/>
      <w:divBdr>
        <w:top w:val="none" w:sz="0" w:space="0" w:color="auto"/>
        <w:left w:val="none" w:sz="0" w:space="0" w:color="auto"/>
        <w:bottom w:val="none" w:sz="0" w:space="0" w:color="auto"/>
        <w:right w:val="none" w:sz="0" w:space="0" w:color="auto"/>
      </w:divBdr>
    </w:div>
    <w:div w:id="616715969">
      <w:bodyDiv w:val="1"/>
      <w:marLeft w:val="0"/>
      <w:marRight w:val="0"/>
      <w:marTop w:val="0"/>
      <w:marBottom w:val="0"/>
      <w:divBdr>
        <w:top w:val="none" w:sz="0" w:space="0" w:color="auto"/>
        <w:left w:val="none" w:sz="0" w:space="0" w:color="auto"/>
        <w:bottom w:val="none" w:sz="0" w:space="0" w:color="auto"/>
        <w:right w:val="none" w:sz="0" w:space="0" w:color="auto"/>
      </w:divBdr>
    </w:div>
    <w:div w:id="622004317">
      <w:bodyDiv w:val="1"/>
      <w:marLeft w:val="0"/>
      <w:marRight w:val="0"/>
      <w:marTop w:val="0"/>
      <w:marBottom w:val="0"/>
      <w:divBdr>
        <w:top w:val="none" w:sz="0" w:space="0" w:color="auto"/>
        <w:left w:val="none" w:sz="0" w:space="0" w:color="auto"/>
        <w:bottom w:val="none" w:sz="0" w:space="0" w:color="auto"/>
        <w:right w:val="none" w:sz="0" w:space="0" w:color="auto"/>
      </w:divBdr>
    </w:div>
    <w:div w:id="624895579">
      <w:bodyDiv w:val="1"/>
      <w:marLeft w:val="0"/>
      <w:marRight w:val="0"/>
      <w:marTop w:val="0"/>
      <w:marBottom w:val="0"/>
      <w:divBdr>
        <w:top w:val="none" w:sz="0" w:space="0" w:color="auto"/>
        <w:left w:val="none" w:sz="0" w:space="0" w:color="auto"/>
        <w:bottom w:val="none" w:sz="0" w:space="0" w:color="auto"/>
        <w:right w:val="none" w:sz="0" w:space="0" w:color="auto"/>
      </w:divBdr>
    </w:div>
    <w:div w:id="633171968">
      <w:bodyDiv w:val="1"/>
      <w:marLeft w:val="0"/>
      <w:marRight w:val="0"/>
      <w:marTop w:val="0"/>
      <w:marBottom w:val="0"/>
      <w:divBdr>
        <w:top w:val="none" w:sz="0" w:space="0" w:color="auto"/>
        <w:left w:val="none" w:sz="0" w:space="0" w:color="auto"/>
        <w:bottom w:val="none" w:sz="0" w:space="0" w:color="auto"/>
        <w:right w:val="none" w:sz="0" w:space="0" w:color="auto"/>
      </w:divBdr>
    </w:div>
    <w:div w:id="637413426">
      <w:bodyDiv w:val="1"/>
      <w:marLeft w:val="0"/>
      <w:marRight w:val="0"/>
      <w:marTop w:val="0"/>
      <w:marBottom w:val="0"/>
      <w:divBdr>
        <w:top w:val="none" w:sz="0" w:space="0" w:color="auto"/>
        <w:left w:val="none" w:sz="0" w:space="0" w:color="auto"/>
        <w:bottom w:val="none" w:sz="0" w:space="0" w:color="auto"/>
        <w:right w:val="none" w:sz="0" w:space="0" w:color="auto"/>
      </w:divBdr>
    </w:div>
    <w:div w:id="639454495">
      <w:bodyDiv w:val="1"/>
      <w:marLeft w:val="0"/>
      <w:marRight w:val="0"/>
      <w:marTop w:val="0"/>
      <w:marBottom w:val="0"/>
      <w:divBdr>
        <w:top w:val="none" w:sz="0" w:space="0" w:color="auto"/>
        <w:left w:val="none" w:sz="0" w:space="0" w:color="auto"/>
        <w:bottom w:val="none" w:sz="0" w:space="0" w:color="auto"/>
        <w:right w:val="none" w:sz="0" w:space="0" w:color="auto"/>
      </w:divBdr>
    </w:div>
    <w:div w:id="639457007">
      <w:bodyDiv w:val="1"/>
      <w:marLeft w:val="0"/>
      <w:marRight w:val="0"/>
      <w:marTop w:val="0"/>
      <w:marBottom w:val="0"/>
      <w:divBdr>
        <w:top w:val="none" w:sz="0" w:space="0" w:color="auto"/>
        <w:left w:val="none" w:sz="0" w:space="0" w:color="auto"/>
        <w:bottom w:val="none" w:sz="0" w:space="0" w:color="auto"/>
        <w:right w:val="none" w:sz="0" w:space="0" w:color="auto"/>
      </w:divBdr>
    </w:div>
    <w:div w:id="651757630">
      <w:bodyDiv w:val="1"/>
      <w:marLeft w:val="0"/>
      <w:marRight w:val="0"/>
      <w:marTop w:val="0"/>
      <w:marBottom w:val="0"/>
      <w:divBdr>
        <w:top w:val="none" w:sz="0" w:space="0" w:color="auto"/>
        <w:left w:val="none" w:sz="0" w:space="0" w:color="auto"/>
        <w:bottom w:val="none" w:sz="0" w:space="0" w:color="auto"/>
        <w:right w:val="none" w:sz="0" w:space="0" w:color="auto"/>
      </w:divBdr>
    </w:div>
    <w:div w:id="659045991">
      <w:bodyDiv w:val="1"/>
      <w:marLeft w:val="0"/>
      <w:marRight w:val="0"/>
      <w:marTop w:val="0"/>
      <w:marBottom w:val="0"/>
      <w:divBdr>
        <w:top w:val="none" w:sz="0" w:space="0" w:color="auto"/>
        <w:left w:val="none" w:sz="0" w:space="0" w:color="auto"/>
        <w:bottom w:val="none" w:sz="0" w:space="0" w:color="auto"/>
        <w:right w:val="none" w:sz="0" w:space="0" w:color="auto"/>
      </w:divBdr>
    </w:div>
    <w:div w:id="665130816">
      <w:bodyDiv w:val="1"/>
      <w:marLeft w:val="0"/>
      <w:marRight w:val="0"/>
      <w:marTop w:val="0"/>
      <w:marBottom w:val="0"/>
      <w:divBdr>
        <w:top w:val="none" w:sz="0" w:space="0" w:color="auto"/>
        <w:left w:val="none" w:sz="0" w:space="0" w:color="auto"/>
        <w:bottom w:val="none" w:sz="0" w:space="0" w:color="auto"/>
        <w:right w:val="none" w:sz="0" w:space="0" w:color="auto"/>
      </w:divBdr>
    </w:div>
    <w:div w:id="668757343">
      <w:bodyDiv w:val="1"/>
      <w:marLeft w:val="0"/>
      <w:marRight w:val="0"/>
      <w:marTop w:val="0"/>
      <w:marBottom w:val="0"/>
      <w:divBdr>
        <w:top w:val="none" w:sz="0" w:space="0" w:color="auto"/>
        <w:left w:val="none" w:sz="0" w:space="0" w:color="auto"/>
        <w:bottom w:val="none" w:sz="0" w:space="0" w:color="auto"/>
        <w:right w:val="none" w:sz="0" w:space="0" w:color="auto"/>
      </w:divBdr>
    </w:div>
    <w:div w:id="669798662">
      <w:bodyDiv w:val="1"/>
      <w:marLeft w:val="0"/>
      <w:marRight w:val="0"/>
      <w:marTop w:val="0"/>
      <w:marBottom w:val="0"/>
      <w:divBdr>
        <w:top w:val="none" w:sz="0" w:space="0" w:color="auto"/>
        <w:left w:val="none" w:sz="0" w:space="0" w:color="auto"/>
        <w:bottom w:val="none" w:sz="0" w:space="0" w:color="auto"/>
        <w:right w:val="none" w:sz="0" w:space="0" w:color="auto"/>
      </w:divBdr>
    </w:div>
    <w:div w:id="675964745">
      <w:bodyDiv w:val="1"/>
      <w:marLeft w:val="0"/>
      <w:marRight w:val="0"/>
      <w:marTop w:val="0"/>
      <w:marBottom w:val="0"/>
      <w:divBdr>
        <w:top w:val="none" w:sz="0" w:space="0" w:color="auto"/>
        <w:left w:val="none" w:sz="0" w:space="0" w:color="auto"/>
        <w:bottom w:val="none" w:sz="0" w:space="0" w:color="auto"/>
        <w:right w:val="none" w:sz="0" w:space="0" w:color="auto"/>
      </w:divBdr>
    </w:div>
    <w:div w:id="677776332">
      <w:bodyDiv w:val="1"/>
      <w:marLeft w:val="0"/>
      <w:marRight w:val="0"/>
      <w:marTop w:val="0"/>
      <w:marBottom w:val="0"/>
      <w:divBdr>
        <w:top w:val="none" w:sz="0" w:space="0" w:color="auto"/>
        <w:left w:val="none" w:sz="0" w:space="0" w:color="auto"/>
        <w:bottom w:val="none" w:sz="0" w:space="0" w:color="auto"/>
        <w:right w:val="none" w:sz="0" w:space="0" w:color="auto"/>
      </w:divBdr>
    </w:div>
    <w:div w:id="685670298">
      <w:bodyDiv w:val="1"/>
      <w:marLeft w:val="0"/>
      <w:marRight w:val="0"/>
      <w:marTop w:val="0"/>
      <w:marBottom w:val="0"/>
      <w:divBdr>
        <w:top w:val="none" w:sz="0" w:space="0" w:color="auto"/>
        <w:left w:val="none" w:sz="0" w:space="0" w:color="auto"/>
        <w:bottom w:val="none" w:sz="0" w:space="0" w:color="auto"/>
        <w:right w:val="none" w:sz="0" w:space="0" w:color="auto"/>
      </w:divBdr>
    </w:div>
    <w:div w:id="692536415">
      <w:bodyDiv w:val="1"/>
      <w:marLeft w:val="0"/>
      <w:marRight w:val="0"/>
      <w:marTop w:val="0"/>
      <w:marBottom w:val="0"/>
      <w:divBdr>
        <w:top w:val="none" w:sz="0" w:space="0" w:color="auto"/>
        <w:left w:val="none" w:sz="0" w:space="0" w:color="auto"/>
        <w:bottom w:val="none" w:sz="0" w:space="0" w:color="auto"/>
        <w:right w:val="none" w:sz="0" w:space="0" w:color="auto"/>
      </w:divBdr>
    </w:div>
    <w:div w:id="710228463">
      <w:bodyDiv w:val="1"/>
      <w:marLeft w:val="0"/>
      <w:marRight w:val="0"/>
      <w:marTop w:val="0"/>
      <w:marBottom w:val="0"/>
      <w:divBdr>
        <w:top w:val="none" w:sz="0" w:space="0" w:color="auto"/>
        <w:left w:val="none" w:sz="0" w:space="0" w:color="auto"/>
        <w:bottom w:val="none" w:sz="0" w:space="0" w:color="auto"/>
        <w:right w:val="none" w:sz="0" w:space="0" w:color="auto"/>
      </w:divBdr>
    </w:div>
    <w:div w:id="712657852">
      <w:bodyDiv w:val="1"/>
      <w:marLeft w:val="0"/>
      <w:marRight w:val="0"/>
      <w:marTop w:val="0"/>
      <w:marBottom w:val="0"/>
      <w:divBdr>
        <w:top w:val="none" w:sz="0" w:space="0" w:color="auto"/>
        <w:left w:val="none" w:sz="0" w:space="0" w:color="auto"/>
        <w:bottom w:val="none" w:sz="0" w:space="0" w:color="auto"/>
        <w:right w:val="none" w:sz="0" w:space="0" w:color="auto"/>
      </w:divBdr>
    </w:div>
    <w:div w:id="717971306">
      <w:bodyDiv w:val="1"/>
      <w:marLeft w:val="0"/>
      <w:marRight w:val="0"/>
      <w:marTop w:val="0"/>
      <w:marBottom w:val="0"/>
      <w:divBdr>
        <w:top w:val="none" w:sz="0" w:space="0" w:color="auto"/>
        <w:left w:val="none" w:sz="0" w:space="0" w:color="auto"/>
        <w:bottom w:val="none" w:sz="0" w:space="0" w:color="auto"/>
        <w:right w:val="none" w:sz="0" w:space="0" w:color="auto"/>
      </w:divBdr>
    </w:div>
    <w:div w:id="720634603">
      <w:bodyDiv w:val="1"/>
      <w:marLeft w:val="0"/>
      <w:marRight w:val="0"/>
      <w:marTop w:val="0"/>
      <w:marBottom w:val="0"/>
      <w:divBdr>
        <w:top w:val="none" w:sz="0" w:space="0" w:color="auto"/>
        <w:left w:val="none" w:sz="0" w:space="0" w:color="auto"/>
        <w:bottom w:val="none" w:sz="0" w:space="0" w:color="auto"/>
        <w:right w:val="none" w:sz="0" w:space="0" w:color="auto"/>
      </w:divBdr>
    </w:div>
    <w:div w:id="740516870">
      <w:bodyDiv w:val="1"/>
      <w:marLeft w:val="0"/>
      <w:marRight w:val="0"/>
      <w:marTop w:val="0"/>
      <w:marBottom w:val="0"/>
      <w:divBdr>
        <w:top w:val="none" w:sz="0" w:space="0" w:color="auto"/>
        <w:left w:val="none" w:sz="0" w:space="0" w:color="auto"/>
        <w:bottom w:val="none" w:sz="0" w:space="0" w:color="auto"/>
        <w:right w:val="none" w:sz="0" w:space="0" w:color="auto"/>
      </w:divBdr>
    </w:div>
    <w:div w:id="740636745">
      <w:bodyDiv w:val="1"/>
      <w:marLeft w:val="0"/>
      <w:marRight w:val="0"/>
      <w:marTop w:val="0"/>
      <w:marBottom w:val="0"/>
      <w:divBdr>
        <w:top w:val="none" w:sz="0" w:space="0" w:color="auto"/>
        <w:left w:val="none" w:sz="0" w:space="0" w:color="auto"/>
        <w:bottom w:val="none" w:sz="0" w:space="0" w:color="auto"/>
        <w:right w:val="none" w:sz="0" w:space="0" w:color="auto"/>
      </w:divBdr>
    </w:div>
    <w:div w:id="779689341">
      <w:bodyDiv w:val="1"/>
      <w:marLeft w:val="0"/>
      <w:marRight w:val="0"/>
      <w:marTop w:val="0"/>
      <w:marBottom w:val="0"/>
      <w:divBdr>
        <w:top w:val="none" w:sz="0" w:space="0" w:color="auto"/>
        <w:left w:val="none" w:sz="0" w:space="0" w:color="auto"/>
        <w:bottom w:val="none" w:sz="0" w:space="0" w:color="auto"/>
        <w:right w:val="none" w:sz="0" w:space="0" w:color="auto"/>
      </w:divBdr>
    </w:div>
    <w:div w:id="789861149">
      <w:bodyDiv w:val="1"/>
      <w:marLeft w:val="0"/>
      <w:marRight w:val="0"/>
      <w:marTop w:val="0"/>
      <w:marBottom w:val="0"/>
      <w:divBdr>
        <w:top w:val="none" w:sz="0" w:space="0" w:color="auto"/>
        <w:left w:val="none" w:sz="0" w:space="0" w:color="auto"/>
        <w:bottom w:val="none" w:sz="0" w:space="0" w:color="auto"/>
        <w:right w:val="none" w:sz="0" w:space="0" w:color="auto"/>
      </w:divBdr>
    </w:div>
    <w:div w:id="799499276">
      <w:bodyDiv w:val="1"/>
      <w:marLeft w:val="0"/>
      <w:marRight w:val="0"/>
      <w:marTop w:val="0"/>
      <w:marBottom w:val="0"/>
      <w:divBdr>
        <w:top w:val="none" w:sz="0" w:space="0" w:color="auto"/>
        <w:left w:val="none" w:sz="0" w:space="0" w:color="auto"/>
        <w:bottom w:val="none" w:sz="0" w:space="0" w:color="auto"/>
        <w:right w:val="none" w:sz="0" w:space="0" w:color="auto"/>
      </w:divBdr>
    </w:div>
    <w:div w:id="800537939">
      <w:bodyDiv w:val="1"/>
      <w:marLeft w:val="0"/>
      <w:marRight w:val="0"/>
      <w:marTop w:val="0"/>
      <w:marBottom w:val="0"/>
      <w:divBdr>
        <w:top w:val="none" w:sz="0" w:space="0" w:color="auto"/>
        <w:left w:val="none" w:sz="0" w:space="0" w:color="auto"/>
        <w:bottom w:val="none" w:sz="0" w:space="0" w:color="auto"/>
        <w:right w:val="none" w:sz="0" w:space="0" w:color="auto"/>
      </w:divBdr>
    </w:div>
    <w:div w:id="805976928">
      <w:bodyDiv w:val="1"/>
      <w:marLeft w:val="0"/>
      <w:marRight w:val="0"/>
      <w:marTop w:val="0"/>
      <w:marBottom w:val="0"/>
      <w:divBdr>
        <w:top w:val="none" w:sz="0" w:space="0" w:color="auto"/>
        <w:left w:val="none" w:sz="0" w:space="0" w:color="auto"/>
        <w:bottom w:val="none" w:sz="0" w:space="0" w:color="auto"/>
        <w:right w:val="none" w:sz="0" w:space="0" w:color="auto"/>
      </w:divBdr>
    </w:div>
    <w:div w:id="808474335">
      <w:bodyDiv w:val="1"/>
      <w:marLeft w:val="0"/>
      <w:marRight w:val="0"/>
      <w:marTop w:val="0"/>
      <w:marBottom w:val="0"/>
      <w:divBdr>
        <w:top w:val="none" w:sz="0" w:space="0" w:color="auto"/>
        <w:left w:val="none" w:sz="0" w:space="0" w:color="auto"/>
        <w:bottom w:val="none" w:sz="0" w:space="0" w:color="auto"/>
        <w:right w:val="none" w:sz="0" w:space="0" w:color="auto"/>
      </w:divBdr>
    </w:div>
    <w:div w:id="818883497">
      <w:bodyDiv w:val="1"/>
      <w:marLeft w:val="0"/>
      <w:marRight w:val="0"/>
      <w:marTop w:val="0"/>
      <w:marBottom w:val="0"/>
      <w:divBdr>
        <w:top w:val="none" w:sz="0" w:space="0" w:color="auto"/>
        <w:left w:val="none" w:sz="0" w:space="0" w:color="auto"/>
        <w:bottom w:val="none" w:sz="0" w:space="0" w:color="auto"/>
        <w:right w:val="none" w:sz="0" w:space="0" w:color="auto"/>
      </w:divBdr>
    </w:div>
    <w:div w:id="848981188">
      <w:bodyDiv w:val="1"/>
      <w:marLeft w:val="0"/>
      <w:marRight w:val="0"/>
      <w:marTop w:val="0"/>
      <w:marBottom w:val="0"/>
      <w:divBdr>
        <w:top w:val="none" w:sz="0" w:space="0" w:color="auto"/>
        <w:left w:val="none" w:sz="0" w:space="0" w:color="auto"/>
        <w:bottom w:val="none" w:sz="0" w:space="0" w:color="auto"/>
        <w:right w:val="none" w:sz="0" w:space="0" w:color="auto"/>
      </w:divBdr>
    </w:div>
    <w:div w:id="855967704">
      <w:bodyDiv w:val="1"/>
      <w:marLeft w:val="0"/>
      <w:marRight w:val="0"/>
      <w:marTop w:val="0"/>
      <w:marBottom w:val="0"/>
      <w:divBdr>
        <w:top w:val="none" w:sz="0" w:space="0" w:color="auto"/>
        <w:left w:val="none" w:sz="0" w:space="0" w:color="auto"/>
        <w:bottom w:val="none" w:sz="0" w:space="0" w:color="auto"/>
        <w:right w:val="none" w:sz="0" w:space="0" w:color="auto"/>
      </w:divBdr>
    </w:div>
    <w:div w:id="855998147">
      <w:bodyDiv w:val="1"/>
      <w:marLeft w:val="0"/>
      <w:marRight w:val="0"/>
      <w:marTop w:val="0"/>
      <w:marBottom w:val="0"/>
      <w:divBdr>
        <w:top w:val="none" w:sz="0" w:space="0" w:color="auto"/>
        <w:left w:val="none" w:sz="0" w:space="0" w:color="auto"/>
        <w:bottom w:val="none" w:sz="0" w:space="0" w:color="auto"/>
        <w:right w:val="none" w:sz="0" w:space="0" w:color="auto"/>
      </w:divBdr>
    </w:div>
    <w:div w:id="869337216">
      <w:bodyDiv w:val="1"/>
      <w:marLeft w:val="0"/>
      <w:marRight w:val="0"/>
      <w:marTop w:val="0"/>
      <w:marBottom w:val="0"/>
      <w:divBdr>
        <w:top w:val="none" w:sz="0" w:space="0" w:color="auto"/>
        <w:left w:val="none" w:sz="0" w:space="0" w:color="auto"/>
        <w:bottom w:val="none" w:sz="0" w:space="0" w:color="auto"/>
        <w:right w:val="none" w:sz="0" w:space="0" w:color="auto"/>
      </w:divBdr>
    </w:div>
    <w:div w:id="874121709">
      <w:bodyDiv w:val="1"/>
      <w:marLeft w:val="0"/>
      <w:marRight w:val="0"/>
      <w:marTop w:val="0"/>
      <w:marBottom w:val="0"/>
      <w:divBdr>
        <w:top w:val="none" w:sz="0" w:space="0" w:color="auto"/>
        <w:left w:val="none" w:sz="0" w:space="0" w:color="auto"/>
        <w:bottom w:val="none" w:sz="0" w:space="0" w:color="auto"/>
        <w:right w:val="none" w:sz="0" w:space="0" w:color="auto"/>
      </w:divBdr>
    </w:div>
    <w:div w:id="875697379">
      <w:bodyDiv w:val="1"/>
      <w:marLeft w:val="0"/>
      <w:marRight w:val="0"/>
      <w:marTop w:val="0"/>
      <w:marBottom w:val="0"/>
      <w:divBdr>
        <w:top w:val="none" w:sz="0" w:space="0" w:color="auto"/>
        <w:left w:val="none" w:sz="0" w:space="0" w:color="auto"/>
        <w:bottom w:val="none" w:sz="0" w:space="0" w:color="auto"/>
        <w:right w:val="none" w:sz="0" w:space="0" w:color="auto"/>
      </w:divBdr>
    </w:div>
    <w:div w:id="879167918">
      <w:bodyDiv w:val="1"/>
      <w:marLeft w:val="0"/>
      <w:marRight w:val="0"/>
      <w:marTop w:val="0"/>
      <w:marBottom w:val="0"/>
      <w:divBdr>
        <w:top w:val="none" w:sz="0" w:space="0" w:color="auto"/>
        <w:left w:val="none" w:sz="0" w:space="0" w:color="auto"/>
        <w:bottom w:val="none" w:sz="0" w:space="0" w:color="auto"/>
        <w:right w:val="none" w:sz="0" w:space="0" w:color="auto"/>
      </w:divBdr>
    </w:div>
    <w:div w:id="884676265">
      <w:bodyDiv w:val="1"/>
      <w:marLeft w:val="0"/>
      <w:marRight w:val="0"/>
      <w:marTop w:val="0"/>
      <w:marBottom w:val="0"/>
      <w:divBdr>
        <w:top w:val="none" w:sz="0" w:space="0" w:color="auto"/>
        <w:left w:val="none" w:sz="0" w:space="0" w:color="auto"/>
        <w:bottom w:val="none" w:sz="0" w:space="0" w:color="auto"/>
        <w:right w:val="none" w:sz="0" w:space="0" w:color="auto"/>
      </w:divBdr>
    </w:div>
    <w:div w:id="884953378">
      <w:bodyDiv w:val="1"/>
      <w:marLeft w:val="0"/>
      <w:marRight w:val="0"/>
      <w:marTop w:val="0"/>
      <w:marBottom w:val="0"/>
      <w:divBdr>
        <w:top w:val="none" w:sz="0" w:space="0" w:color="auto"/>
        <w:left w:val="none" w:sz="0" w:space="0" w:color="auto"/>
        <w:bottom w:val="none" w:sz="0" w:space="0" w:color="auto"/>
        <w:right w:val="none" w:sz="0" w:space="0" w:color="auto"/>
      </w:divBdr>
    </w:div>
    <w:div w:id="885411080">
      <w:bodyDiv w:val="1"/>
      <w:marLeft w:val="0"/>
      <w:marRight w:val="0"/>
      <w:marTop w:val="0"/>
      <w:marBottom w:val="0"/>
      <w:divBdr>
        <w:top w:val="none" w:sz="0" w:space="0" w:color="auto"/>
        <w:left w:val="none" w:sz="0" w:space="0" w:color="auto"/>
        <w:bottom w:val="none" w:sz="0" w:space="0" w:color="auto"/>
        <w:right w:val="none" w:sz="0" w:space="0" w:color="auto"/>
      </w:divBdr>
    </w:div>
    <w:div w:id="885484872">
      <w:bodyDiv w:val="1"/>
      <w:marLeft w:val="0"/>
      <w:marRight w:val="0"/>
      <w:marTop w:val="0"/>
      <w:marBottom w:val="0"/>
      <w:divBdr>
        <w:top w:val="none" w:sz="0" w:space="0" w:color="auto"/>
        <w:left w:val="none" w:sz="0" w:space="0" w:color="auto"/>
        <w:bottom w:val="none" w:sz="0" w:space="0" w:color="auto"/>
        <w:right w:val="none" w:sz="0" w:space="0" w:color="auto"/>
      </w:divBdr>
    </w:div>
    <w:div w:id="892694806">
      <w:bodyDiv w:val="1"/>
      <w:marLeft w:val="0"/>
      <w:marRight w:val="0"/>
      <w:marTop w:val="0"/>
      <w:marBottom w:val="0"/>
      <w:divBdr>
        <w:top w:val="none" w:sz="0" w:space="0" w:color="auto"/>
        <w:left w:val="none" w:sz="0" w:space="0" w:color="auto"/>
        <w:bottom w:val="none" w:sz="0" w:space="0" w:color="auto"/>
        <w:right w:val="none" w:sz="0" w:space="0" w:color="auto"/>
      </w:divBdr>
    </w:div>
    <w:div w:id="899631905">
      <w:bodyDiv w:val="1"/>
      <w:marLeft w:val="0"/>
      <w:marRight w:val="0"/>
      <w:marTop w:val="0"/>
      <w:marBottom w:val="0"/>
      <w:divBdr>
        <w:top w:val="none" w:sz="0" w:space="0" w:color="auto"/>
        <w:left w:val="none" w:sz="0" w:space="0" w:color="auto"/>
        <w:bottom w:val="none" w:sz="0" w:space="0" w:color="auto"/>
        <w:right w:val="none" w:sz="0" w:space="0" w:color="auto"/>
      </w:divBdr>
    </w:div>
    <w:div w:id="903219630">
      <w:bodyDiv w:val="1"/>
      <w:marLeft w:val="0"/>
      <w:marRight w:val="0"/>
      <w:marTop w:val="0"/>
      <w:marBottom w:val="0"/>
      <w:divBdr>
        <w:top w:val="none" w:sz="0" w:space="0" w:color="auto"/>
        <w:left w:val="none" w:sz="0" w:space="0" w:color="auto"/>
        <w:bottom w:val="none" w:sz="0" w:space="0" w:color="auto"/>
        <w:right w:val="none" w:sz="0" w:space="0" w:color="auto"/>
      </w:divBdr>
    </w:div>
    <w:div w:id="903639470">
      <w:bodyDiv w:val="1"/>
      <w:marLeft w:val="0"/>
      <w:marRight w:val="0"/>
      <w:marTop w:val="0"/>
      <w:marBottom w:val="0"/>
      <w:divBdr>
        <w:top w:val="none" w:sz="0" w:space="0" w:color="auto"/>
        <w:left w:val="none" w:sz="0" w:space="0" w:color="auto"/>
        <w:bottom w:val="none" w:sz="0" w:space="0" w:color="auto"/>
        <w:right w:val="none" w:sz="0" w:space="0" w:color="auto"/>
      </w:divBdr>
    </w:div>
    <w:div w:id="904030980">
      <w:bodyDiv w:val="1"/>
      <w:marLeft w:val="0"/>
      <w:marRight w:val="0"/>
      <w:marTop w:val="0"/>
      <w:marBottom w:val="0"/>
      <w:divBdr>
        <w:top w:val="none" w:sz="0" w:space="0" w:color="auto"/>
        <w:left w:val="none" w:sz="0" w:space="0" w:color="auto"/>
        <w:bottom w:val="none" w:sz="0" w:space="0" w:color="auto"/>
        <w:right w:val="none" w:sz="0" w:space="0" w:color="auto"/>
      </w:divBdr>
    </w:div>
    <w:div w:id="917322913">
      <w:bodyDiv w:val="1"/>
      <w:marLeft w:val="0"/>
      <w:marRight w:val="0"/>
      <w:marTop w:val="0"/>
      <w:marBottom w:val="0"/>
      <w:divBdr>
        <w:top w:val="none" w:sz="0" w:space="0" w:color="auto"/>
        <w:left w:val="none" w:sz="0" w:space="0" w:color="auto"/>
        <w:bottom w:val="none" w:sz="0" w:space="0" w:color="auto"/>
        <w:right w:val="none" w:sz="0" w:space="0" w:color="auto"/>
      </w:divBdr>
    </w:div>
    <w:div w:id="919220363">
      <w:bodyDiv w:val="1"/>
      <w:marLeft w:val="0"/>
      <w:marRight w:val="0"/>
      <w:marTop w:val="0"/>
      <w:marBottom w:val="0"/>
      <w:divBdr>
        <w:top w:val="none" w:sz="0" w:space="0" w:color="auto"/>
        <w:left w:val="none" w:sz="0" w:space="0" w:color="auto"/>
        <w:bottom w:val="none" w:sz="0" w:space="0" w:color="auto"/>
        <w:right w:val="none" w:sz="0" w:space="0" w:color="auto"/>
      </w:divBdr>
    </w:div>
    <w:div w:id="932013962">
      <w:bodyDiv w:val="1"/>
      <w:marLeft w:val="0"/>
      <w:marRight w:val="0"/>
      <w:marTop w:val="0"/>
      <w:marBottom w:val="0"/>
      <w:divBdr>
        <w:top w:val="none" w:sz="0" w:space="0" w:color="auto"/>
        <w:left w:val="none" w:sz="0" w:space="0" w:color="auto"/>
        <w:bottom w:val="none" w:sz="0" w:space="0" w:color="auto"/>
        <w:right w:val="none" w:sz="0" w:space="0" w:color="auto"/>
      </w:divBdr>
    </w:div>
    <w:div w:id="935282782">
      <w:bodyDiv w:val="1"/>
      <w:marLeft w:val="0"/>
      <w:marRight w:val="0"/>
      <w:marTop w:val="0"/>
      <w:marBottom w:val="0"/>
      <w:divBdr>
        <w:top w:val="none" w:sz="0" w:space="0" w:color="auto"/>
        <w:left w:val="none" w:sz="0" w:space="0" w:color="auto"/>
        <w:bottom w:val="none" w:sz="0" w:space="0" w:color="auto"/>
        <w:right w:val="none" w:sz="0" w:space="0" w:color="auto"/>
      </w:divBdr>
    </w:div>
    <w:div w:id="936446215">
      <w:bodyDiv w:val="1"/>
      <w:marLeft w:val="0"/>
      <w:marRight w:val="0"/>
      <w:marTop w:val="0"/>
      <w:marBottom w:val="0"/>
      <w:divBdr>
        <w:top w:val="none" w:sz="0" w:space="0" w:color="auto"/>
        <w:left w:val="none" w:sz="0" w:space="0" w:color="auto"/>
        <w:bottom w:val="none" w:sz="0" w:space="0" w:color="auto"/>
        <w:right w:val="none" w:sz="0" w:space="0" w:color="auto"/>
      </w:divBdr>
    </w:div>
    <w:div w:id="945304559">
      <w:bodyDiv w:val="1"/>
      <w:marLeft w:val="0"/>
      <w:marRight w:val="0"/>
      <w:marTop w:val="0"/>
      <w:marBottom w:val="0"/>
      <w:divBdr>
        <w:top w:val="none" w:sz="0" w:space="0" w:color="auto"/>
        <w:left w:val="none" w:sz="0" w:space="0" w:color="auto"/>
        <w:bottom w:val="none" w:sz="0" w:space="0" w:color="auto"/>
        <w:right w:val="none" w:sz="0" w:space="0" w:color="auto"/>
      </w:divBdr>
    </w:div>
    <w:div w:id="945700554">
      <w:bodyDiv w:val="1"/>
      <w:marLeft w:val="0"/>
      <w:marRight w:val="0"/>
      <w:marTop w:val="0"/>
      <w:marBottom w:val="0"/>
      <w:divBdr>
        <w:top w:val="none" w:sz="0" w:space="0" w:color="auto"/>
        <w:left w:val="none" w:sz="0" w:space="0" w:color="auto"/>
        <w:bottom w:val="none" w:sz="0" w:space="0" w:color="auto"/>
        <w:right w:val="none" w:sz="0" w:space="0" w:color="auto"/>
      </w:divBdr>
    </w:div>
    <w:div w:id="948243519">
      <w:bodyDiv w:val="1"/>
      <w:marLeft w:val="0"/>
      <w:marRight w:val="0"/>
      <w:marTop w:val="0"/>
      <w:marBottom w:val="0"/>
      <w:divBdr>
        <w:top w:val="none" w:sz="0" w:space="0" w:color="auto"/>
        <w:left w:val="none" w:sz="0" w:space="0" w:color="auto"/>
        <w:bottom w:val="none" w:sz="0" w:space="0" w:color="auto"/>
        <w:right w:val="none" w:sz="0" w:space="0" w:color="auto"/>
      </w:divBdr>
    </w:div>
    <w:div w:id="973487394">
      <w:bodyDiv w:val="1"/>
      <w:marLeft w:val="0"/>
      <w:marRight w:val="0"/>
      <w:marTop w:val="0"/>
      <w:marBottom w:val="0"/>
      <w:divBdr>
        <w:top w:val="none" w:sz="0" w:space="0" w:color="auto"/>
        <w:left w:val="none" w:sz="0" w:space="0" w:color="auto"/>
        <w:bottom w:val="none" w:sz="0" w:space="0" w:color="auto"/>
        <w:right w:val="none" w:sz="0" w:space="0" w:color="auto"/>
      </w:divBdr>
    </w:div>
    <w:div w:id="973681476">
      <w:bodyDiv w:val="1"/>
      <w:marLeft w:val="0"/>
      <w:marRight w:val="0"/>
      <w:marTop w:val="0"/>
      <w:marBottom w:val="0"/>
      <w:divBdr>
        <w:top w:val="none" w:sz="0" w:space="0" w:color="auto"/>
        <w:left w:val="none" w:sz="0" w:space="0" w:color="auto"/>
        <w:bottom w:val="none" w:sz="0" w:space="0" w:color="auto"/>
        <w:right w:val="none" w:sz="0" w:space="0" w:color="auto"/>
      </w:divBdr>
    </w:div>
    <w:div w:id="973683140">
      <w:bodyDiv w:val="1"/>
      <w:marLeft w:val="0"/>
      <w:marRight w:val="0"/>
      <w:marTop w:val="0"/>
      <w:marBottom w:val="0"/>
      <w:divBdr>
        <w:top w:val="none" w:sz="0" w:space="0" w:color="auto"/>
        <w:left w:val="none" w:sz="0" w:space="0" w:color="auto"/>
        <w:bottom w:val="none" w:sz="0" w:space="0" w:color="auto"/>
        <w:right w:val="none" w:sz="0" w:space="0" w:color="auto"/>
      </w:divBdr>
    </w:div>
    <w:div w:id="981345410">
      <w:bodyDiv w:val="1"/>
      <w:marLeft w:val="0"/>
      <w:marRight w:val="0"/>
      <w:marTop w:val="0"/>
      <w:marBottom w:val="0"/>
      <w:divBdr>
        <w:top w:val="none" w:sz="0" w:space="0" w:color="auto"/>
        <w:left w:val="none" w:sz="0" w:space="0" w:color="auto"/>
        <w:bottom w:val="none" w:sz="0" w:space="0" w:color="auto"/>
        <w:right w:val="none" w:sz="0" w:space="0" w:color="auto"/>
      </w:divBdr>
    </w:div>
    <w:div w:id="983311352">
      <w:bodyDiv w:val="1"/>
      <w:marLeft w:val="0"/>
      <w:marRight w:val="0"/>
      <w:marTop w:val="0"/>
      <w:marBottom w:val="0"/>
      <w:divBdr>
        <w:top w:val="none" w:sz="0" w:space="0" w:color="auto"/>
        <w:left w:val="none" w:sz="0" w:space="0" w:color="auto"/>
        <w:bottom w:val="none" w:sz="0" w:space="0" w:color="auto"/>
        <w:right w:val="none" w:sz="0" w:space="0" w:color="auto"/>
      </w:divBdr>
    </w:div>
    <w:div w:id="993489299">
      <w:bodyDiv w:val="1"/>
      <w:marLeft w:val="0"/>
      <w:marRight w:val="0"/>
      <w:marTop w:val="0"/>
      <w:marBottom w:val="0"/>
      <w:divBdr>
        <w:top w:val="none" w:sz="0" w:space="0" w:color="auto"/>
        <w:left w:val="none" w:sz="0" w:space="0" w:color="auto"/>
        <w:bottom w:val="none" w:sz="0" w:space="0" w:color="auto"/>
        <w:right w:val="none" w:sz="0" w:space="0" w:color="auto"/>
      </w:divBdr>
    </w:div>
    <w:div w:id="997880402">
      <w:bodyDiv w:val="1"/>
      <w:marLeft w:val="0"/>
      <w:marRight w:val="0"/>
      <w:marTop w:val="0"/>
      <w:marBottom w:val="0"/>
      <w:divBdr>
        <w:top w:val="none" w:sz="0" w:space="0" w:color="auto"/>
        <w:left w:val="none" w:sz="0" w:space="0" w:color="auto"/>
        <w:bottom w:val="none" w:sz="0" w:space="0" w:color="auto"/>
        <w:right w:val="none" w:sz="0" w:space="0" w:color="auto"/>
      </w:divBdr>
    </w:div>
    <w:div w:id="1004746103">
      <w:bodyDiv w:val="1"/>
      <w:marLeft w:val="0"/>
      <w:marRight w:val="0"/>
      <w:marTop w:val="0"/>
      <w:marBottom w:val="0"/>
      <w:divBdr>
        <w:top w:val="none" w:sz="0" w:space="0" w:color="auto"/>
        <w:left w:val="none" w:sz="0" w:space="0" w:color="auto"/>
        <w:bottom w:val="none" w:sz="0" w:space="0" w:color="auto"/>
        <w:right w:val="none" w:sz="0" w:space="0" w:color="auto"/>
      </w:divBdr>
    </w:div>
    <w:div w:id="1005010575">
      <w:bodyDiv w:val="1"/>
      <w:marLeft w:val="0"/>
      <w:marRight w:val="0"/>
      <w:marTop w:val="0"/>
      <w:marBottom w:val="0"/>
      <w:divBdr>
        <w:top w:val="none" w:sz="0" w:space="0" w:color="auto"/>
        <w:left w:val="none" w:sz="0" w:space="0" w:color="auto"/>
        <w:bottom w:val="none" w:sz="0" w:space="0" w:color="auto"/>
        <w:right w:val="none" w:sz="0" w:space="0" w:color="auto"/>
      </w:divBdr>
    </w:div>
    <w:div w:id="1007755800">
      <w:bodyDiv w:val="1"/>
      <w:marLeft w:val="0"/>
      <w:marRight w:val="0"/>
      <w:marTop w:val="0"/>
      <w:marBottom w:val="0"/>
      <w:divBdr>
        <w:top w:val="none" w:sz="0" w:space="0" w:color="auto"/>
        <w:left w:val="none" w:sz="0" w:space="0" w:color="auto"/>
        <w:bottom w:val="none" w:sz="0" w:space="0" w:color="auto"/>
        <w:right w:val="none" w:sz="0" w:space="0" w:color="auto"/>
      </w:divBdr>
    </w:div>
    <w:div w:id="1008286204">
      <w:bodyDiv w:val="1"/>
      <w:marLeft w:val="0"/>
      <w:marRight w:val="0"/>
      <w:marTop w:val="0"/>
      <w:marBottom w:val="0"/>
      <w:divBdr>
        <w:top w:val="none" w:sz="0" w:space="0" w:color="auto"/>
        <w:left w:val="none" w:sz="0" w:space="0" w:color="auto"/>
        <w:bottom w:val="none" w:sz="0" w:space="0" w:color="auto"/>
        <w:right w:val="none" w:sz="0" w:space="0" w:color="auto"/>
      </w:divBdr>
    </w:div>
    <w:div w:id="1014192696">
      <w:bodyDiv w:val="1"/>
      <w:marLeft w:val="0"/>
      <w:marRight w:val="0"/>
      <w:marTop w:val="0"/>
      <w:marBottom w:val="0"/>
      <w:divBdr>
        <w:top w:val="none" w:sz="0" w:space="0" w:color="auto"/>
        <w:left w:val="none" w:sz="0" w:space="0" w:color="auto"/>
        <w:bottom w:val="none" w:sz="0" w:space="0" w:color="auto"/>
        <w:right w:val="none" w:sz="0" w:space="0" w:color="auto"/>
      </w:divBdr>
    </w:div>
    <w:div w:id="1031611313">
      <w:bodyDiv w:val="1"/>
      <w:marLeft w:val="0"/>
      <w:marRight w:val="0"/>
      <w:marTop w:val="0"/>
      <w:marBottom w:val="0"/>
      <w:divBdr>
        <w:top w:val="none" w:sz="0" w:space="0" w:color="auto"/>
        <w:left w:val="none" w:sz="0" w:space="0" w:color="auto"/>
        <w:bottom w:val="none" w:sz="0" w:space="0" w:color="auto"/>
        <w:right w:val="none" w:sz="0" w:space="0" w:color="auto"/>
      </w:divBdr>
    </w:div>
    <w:div w:id="1040714550">
      <w:bodyDiv w:val="1"/>
      <w:marLeft w:val="0"/>
      <w:marRight w:val="0"/>
      <w:marTop w:val="0"/>
      <w:marBottom w:val="0"/>
      <w:divBdr>
        <w:top w:val="none" w:sz="0" w:space="0" w:color="auto"/>
        <w:left w:val="none" w:sz="0" w:space="0" w:color="auto"/>
        <w:bottom w:val="none" w:sz="0" w:space="0" w:color="auto"/>
        <w:right w:val="none" w:sz="0" w:space="0" w:color="auto"/>
      </w:divBdr>
    </w:div>
    <w:div w:id="1061755782">
      <w:bodyDiv w:val="1"/>
      <w:marLeft w:val="0"/>
      <w:marRight w:val="0"/>
      <w:marTop w:val="0"/>
      <w:marBottom w:val="0"/>
      <w:divBdr>
        <w:top w:val="none" w:sz="0" w:space="0" w:color="auto"/>
        <w:left w:val="none" w:sz="0" w:space="0" w:color="auto"/>
        <w:bottom w:val="none" w:sz="0" w:space="0" w:color="auto"/>
        <w:right w:val="none" w:sz="0" w:space="0" w:color="auto"/>
      </w:divBdr>
    </w:div>
    <w:div w:id="1064333425">
      <w:bodyDiv w:val="1"/>
      <w:marLeft w:val="0"/>
      <w:marRight w:val="0"/>
      <w:marTop w:val="0"/>
      <w:marBottom w:val="0"/>
      <w:divBdr>
        <w:top w:val="none" w:sz="0" w:space="0" w:color="auto"/>
        <w:left w:val="none" w:sz="0" w:space="0" w:color="auto"/>
        <w:bottom w:val="none" w:sz="0" w:space="0" w:color="auto"/>
        <w:right w:val="none" w:sz="0" w:space="0" w:color="auto"/>
      </w:divBdr>
    </w:div>
    <w:div w:id="1065640313">
      <w:bodyDiv w:val="1"/>
      <w:marLeft w:val="0"/>
      <w:marRight w:val="0"/>
      <w:marTop w:val="0"/>
      <w:marBottom w:val="0"/>
      <w:divBdr>
        <w:top w:val="none" w:sz="0" w:space="0" w:color="auto"/>
        <w:left w:val="none" w:sz="0" w:space="0" w:color="auto"/>
        <w:bottom w:val="none" w:sz="0" w:space="0" w:color="auto"/>
        <w:right w:val="none" w:sz="0" w:space="0" w:color="auto"/>
      </w:divBdr>
    </w:div>
    <w:div w:id="1065953994">
      <w:bodyDiv w:val="1"/>
      <w:marLeft w:val="0"/>
      <w:marRight w:val="0"/>
      <w:marTop w:val="0"/>
      <w:marBottom w:val="0"/>
      <w:divBdr>
        <w:top w:val="none" w:sz="0" w:space="0" w:color="auto"/>
        <w:left w:val="none" w:sz="0" w:space="0" w:color="auto"/>
        <w:bottom w:val="none" w:sz="0" w:space="0" w:color="auto"/>
        <w:right w:val="none" w:sz="0" w:space="0" w:color="auto"/>
      </w:divBdr>
    </w:div>
    <w:div w:id="1069495761">
      <w:bodyDiv w:val="1"/>
      <w:marLeft w:val="0"/>
      <w:marRight w:val="0"/>
      <w:marTop w:val="0"/>
      <w:marBottom w:val="0"/>
      <w:divBdr>
        <w:top w:val="none" w:sz="0" w:space="0" w:color="auto"/>
        <w:left w:val="none" w:sz="0" w:space="0" w:color="auto"/>
        <w:bottom w:val="none" w:sz="0" w:space="0" w:color="auto"/>
        <w:right w:val="none" w:sz="0" w:space="0" w:color="auto"/>
      </w:divBdr>
    </w:div>
    <w:div w:id="1074084931">
      <w:bodyDiv w:val="1"/>
      <w:marLeft w:val="0"/>
      <w:marRight w:val="0"/>
      <w:marTop w:val="0"/>
      <w:marBottom w:val="0"/>
      <w:divBdr>
        <w:top w:val="none" w:sz="0" w:space="0" w:color="auto"/>
        <w:left w:val="none" w:sz="0" w:space="0" w:color="auto"/>
        <w:bottom w:val="none" w:sz="0" w:space="0" w:color="auto"/>
        <w:right w:val="none" w:sz="0" w:space="0" w:color="auto"/>
      </w:divBdr>
    </w:div>
    <w:div w:id="1075317885">
      <w:bodyDiv w:val="1"/>
      <w:marLeft w:val="0"/>
      <w:marRight w:val="0"/>
      <w:marTop w:val="0"/>
      <w:marBottom w:val="0"/>
      <w:divBdr>
        <w:top w:val="none" w:sz="0" w:space="0" w:color="auto"/>
        <w:left w:val="none" w:sz="0" w:space="0" w:color="auto"/>
        <w:bottom w:val="none" w:sz="0" w:space="0" w:color="auto"/>
        <w:right w:val="none" w:sz="0" w:space="0" w:color="auto"/>
      </w:divBdr>
    </w:div>
    <w:div w:id="1084034901">
      <w:bodyDiv w:val="1"/>
      <w:marLeft w:val="0"/>
      <w:marRight w:val="0"/>
      <w:marTop w:val="0"/>
      <w:marBottom w:val="0"/>
      <w:divBdr>
        <w:top w:val="none" w:sz="0" w:space="0" w:color="auto"/>
        <w:left w:val="none" w:sz="0" w:space="0" w:color="auto"/>
        <w:bottom w:val="none" w:sz="0" w:space="0" w:color="auto"/>
        <w:right w:val="none" w:sz="0" w:space="0" w:color="auto"/>
      </w:divBdr>
    </w:div>
    <w:div w:id="1085954090">
      <w:bodyDiv w:val="1"/>
      <w:marLeft w:val="0"/>
      <w:marRight w:val="0"/>
      <w:marTop w:val="0"/>
      <w:marBottom w:val="0"/>
      <w:divBdr>
        <w:top w:val="none" w:sz="0" w:space="0" w:color="auto"/>
        <w:left w:val="none" w:sz="0" w:space="0" w:color="auto"/>
        <w:bottom w:val="none" w:sz="0" w:space="0" w:color="auto"/>
        <w:right w:val="none" w:sz="0" w:space="0" w:color="auto"/>
      </w:divBdr>
    </w:div>
    <w:div w:id="1107503604">
      <w:bodyDiv w:val="1"/>
      <w:marLeft w:val="0"/>
      <w:marRight w:val="0"/>
      <w:marTop w:val="0"/>
      <w:marBottom w:val="0"/>
      <w:divBdr>
        <w:top w:val="none" w:sz="0" w:space="0" w:color="auto"/>
        <w:left w:val="none" w:sz="0" w:space="0" w:color="auto"/>
        <w:bottom w:val="none" w:sz="0" w:space="0" w:color="auto"/>
        <w:right w:val="none" w:sz="0" w:space="0" w:color="auto"/>
      </w:divBdr>
    </w:div>
    <w:div w:id="1115516752">
      <w:bodyDiv w:val="1"/>
      <w:marLeft w:val="0"/>
      <w:marRight w:val="0"/>
      <w:marTop w:val="0"/>
      <w:marBottom w:val="0"/>
      <w:divBdr>
        <w:top w:val="none" w:sz="0" w:space="0" w:color="auto"/>
        <w:left w:val="none" w:sz="0" w:space="0" w:color="auto"/>
        <w:bottom w:val="none" w:sz="0" w:space="0" w:color="auto"/>
        <w:right w:val="none" w:sz="0" w:space="0" w:color="auto"/>
      </w:divBdr>
    </w:div>
    <w:div w:id="1121651334">
      <w:bodyDiv w:val="1"/>
      <w:marLeft w:val="0"/>
      <w:marRight w:val="0"/>
      <w:marTop w:val="0"/>
      <w:marBottom w:val="0"/>
      <w:divBdr>
        <w:top w:val="none" w:sz="0" w:space="0" w:color="auto"/>
        <w:left w:val="none" w:sz="0" w:space="0" w:color="auto"/>
        <w:bottom w:val="none" w:sz="0" w:space="0" w:color="auto"/>
        <w:right w:val="none" w:sz="0" w:space="0" w:color="auto"/>
      </w:divBdr>
    </w:div>
    <w:div w:id="1122764787">
      <w:bodyDiv w:val="1"/>
      <w:marLeft w:val="0"/>
      <w:marRight w:val="0"/>
      <w:marTop w:val="0"/>
      <w:marBottom w:val="0"/>
      <w:divBdr>
        <w:top w:val="none" w:sz="0" w:space="0" w:color="auto"/>
        <w:left w:val="none" w:sz="0" w:space="0" w:color="auto"/>
        <w:bottom w:val="none" w:sz="0" w:space="0" w:color="auto"/>
        <w:right w:val="none" w:sz="0" w:space="0" w:color="auto"/>
      </w:divBdr>
    </w:div>
    <w:div w:id="1124498360">
      <w:bodyDiv w:val="1"/>
      <w:marLeft w:val="0"/>
      <w:marRight w:val="0"/>
      <w:marTop w:val="0"/>
      <w:marBottom w:val="0"/>
      <w:divBdr>
        <w:top w:val="none" w:sz="0" w:space="0" w:color="auto"/>
        <w:left w:val="none" w:sz="0" w:space="0" w:color="auto"/>
        <w:bottom w:val="none" w:sz="0" w:space="0" w:color="auto"/>
        <w:right w:val="none" w:sz="0" w:space="0" w:color="auto"/>
      </w:divBdr>
    </w:div>
    <w:div w:id="1129203353">
      <w:bodyDiv w:val="1"/>
      <w:marLeft w:val="0"/>
      <w:marRight w:val="0"/>
      <w:marTop w:val="0"/>
      <w:marBottom w:val="0"/>
      <w:divBdr>
        <w:top w:val="none" w:sz="0" w:space="0" w:color="auto"/>
        <w:left w:val="none" w:sz="0" w:space="0" w:color="auto"/>
        <w:bottom w:val="none" w:sz="0" w:space="0" w:color="auto"/>
        <w:right w:val="none" w:sz="0" w:space="0" w:color="auto"/>
      </w:divBdr>
    </w:div>
    <w:div w:id="1135879374">
      <w:bodyDiv w:val="1"/>
      <w:marLeft w:val="0"/>
      <w:marRight w:val="0"/>
      <w:marTop w:val="0"/>
      <w:marBottom w:val="0"/>
      <w:divBdr>
        <w:top w:val="none" w:sz="0" w:space="0" w:color="auto"/>
        <w:left w:val="none" w:sz="0" w:space="0" w:color="auto"/>
        <w:bottom w:val="none" w:sz="0" w:space="0" w:color="auto"/>
        <w:right w:val="none" w:sz="0" w:space="0" w:color="auto"/>
      </w:divBdr>
    </w:div>
    <w:div w:id="1141575301">
      <w:bodyDiv w:val="1"/>
      <w:marLeft w:val="0"/>
      <w:marRight w:val="0"/>
      <w:marTop w:val="0"/>
      <w:marBottom w:val="0"/>
      <w:divBdr>
        <w:top w:val="none" w:sz="0" w:space="0" w:color="auto"/>
        <w:left w:val="none" w:sz="0" w:space="0" w:color="auto"/>
        <w:bottom w:val="none" w:sz="0" w:space="0" w:color="auto"/>
        <w:right w:val="none" w:sz="0" w:space="0" w:color="auto"/>
      </w:divBdr>
    </w:div>
    <w:div w:id="1153570879">
      <w:bodyDiv w:val="1"/>
      <w:marLeft w:val="0"/>
      <w:marRight w:val="0"/>
      <w:marTop w:val="0"/>
      <w:marBottom w:val="0"/>
      <w:divBdr>
        <w:top w:val="none" w:sz="0" w:space="0" w:color="auto"/>
        <w:left w:val="none" w:sz="0" w:space="0" w:color="auto"/>
        <w:bottom w:val="none" w:sz="0" w:space="0" w:color="auto"/>
        <w:right w:val="none" w:sz="0" w:space="0" w:color="auto"/>
      </w:divBdr>
    </w:div>
    <w:div w:id="1155413095">
      <w:bodyDiv w:val="1"/>
      <w:marLeft w:val="0"/>
      <w:marRight w:val="0"/>
      <w:marTop w:val="0"/>
      <w:marBottom w:val="0"/>
      <w:divBdr>
        <w:top w:val="none" w:sz="0" w:space="0" w:color="auto"/>
        <w:left w:val="none" w:sz="0" w:space="0" w:color="auto"/>
        <w:bottom w:val="none" w:sz="0" w:space="0" w:color="auto"/>
        <w:right w:val="none" w:sz="0" w:space="0" w:color="auto"/>
      </w:divBdr>
    </w:div>
    <w:div w:id="1157955832">
      <w:bodyDiv w:val="1"/>
      <w:marLeft w:val="0"/>
      <w:marRight w:val="0"/>
      <w:marTop w:val="0"/>
      <w:marBottom w:val="0"/>
      <w:divBdr>
        <w:top w:val="none" w:sz="0" w:space="0" w:color="auto"/>
        <w:left w:val="none" w:sz="0" w:space="0" w:color="auto"/>
        <w:bottom w:val="none" w:sz="0" w:space="0" w:color="auto"/>
        <w:right w:val="none" w:sz="0" w:space="0" w:color="auto"/>
      </w:divBdr>
    </w:div>
    <w:div w:id="1162700942">
      <w:bodyDiv w:val="1"/>
      <w:marLeft w:val="0"/>
      <w:marRight w:val="0"/>
      <w:marTop w:val="0"/>
      <w:marBottom w:val="0"/>
      <w:divBdr>
        <w:top w:val="none" w:sz="0" w:space="0" w:color="auto"/>
        <w:left w:val="none" w:sz="0" w:space="0" w:color="auto"/>
        <w:bottom w:val="none" w:sz="0" w:space="0" w:color="auto"/>
        <w:right w:val="none" w:sz="0" w:space="0" w:color="auto"/>
      </w:divBdr>
    </w:div>
    <w:div w:id="1166821828">
      <w:bodyDiv w:val="1"/>
      <w:marLeft w:val="0"/>
      <w:marRight w:val="0"/>
      <w:marTop w:val="0"/>
      <w:marBottom w:val="0"/>
      <w:divBdr>
        <w:top w:val="none" w:sz="0" w:space="0" w:color="auto"/>
        <w:left w:val="none" w:sz="0" w:space="0" w:color="auto"/>
        <w:bottom w:val="none" w:sz="0" w:space="0" w:color="auto"/>
        <w:right w:val="none" w:sz="0" w:space="0" w:color="auto"/>
      </w:divBdr>
    </w:div>
    <w:div w:id="1174416301">
      <w:bodyDiv w:val="1"/>
      <w:marLeft w:val="0"/>
      <w:marRight w:val="0"/>
      <w:marTop w:val="0"/>
      <w:marBottom w:val="0"/>
      <w:divBdr>
        <w:top w:val="none" w:sz="0" w:space="0" w:color="auto"/>
        <w:left w:val="none" w:sz="0" w:space="0" w:color="auto"/>
        <w:bottom w:val="none" w:sz="0" w:space="0" w:color="auto"/>
        <w:right w:val="none" w:sz="0" w:space="0" w:color="auto"/>
      </w:divBdr>
    </w:div>
    <w:div w:id="1175728592">
      <w:bodyDiv w:val="1"/>
      <w:marLeft w:val="0"/>
      <w:marRight w:val="0"/>
      <w:marTop w:val="0"/>
      <w:marBottom w:val="0"/>
      <w:divBdr>
        <w:top w:val="none" w:sz="0" w:space="0" w:color="auto"/>
        <w:left w:val="none" w:sz="0" w:space="0" w:color="auto"/>
        <w:bottom w:val="none" w:sz="0" w:space="0" w:color="auto"/>
        <w:right w:val="none" w:sz="0" w:space="0" w:color="auto"/>
      </w:divBdr>
    </w:div>
    <w:div w:id="1184243243">
      <w:bodyDiv w:val="1"/>
      <w:marLeft w:val="0"/>
      <w:marRight w:val="0"/>
      <w:marTop w:val="0"/>
      <w:marBottom w:val="0"/>
      <w:divBdr>
        <w:top w:val="none" w:sz="0" w:space="0" w:color="auto"/>
        <w:left w:val="none" w:sz="0" w:space="0" w:color="auto"/>
        <w:bottom w:val="none" w:sz="0" w:space="0" w:color="auto"/>
        <w:right w:val="none" w:sz="0" w:space="0" w:color="auto"/>
      </w:divBdr>
    </w:div>
    <w:div w:id="1188637857">
      <w:bodyDiv w:val="1"/>
      <w:marLeft w:val="0"/>
      <w:marRight w:val="0"/>
      <w:marTop w:val="0"/>
      <w:marBottom w:val="0"/>
      <w:divBdr>
        <w:top w:val="none" w:sz="0" w:space="0" w:color="auto"/>
        <w:left w:val="none" w:sz="0" w:space="0" w:color="auto"/>
        <w:bottom w:val="none" w:sz="0" w:space="0" w:color="auto"/>
        <w:right w:val="none" w:sz="0" w:space="0" w:color="auto"/>
      </w:divBdr>
    </w:div>
    <w:div w:id="1189760106">
      <w:bodyDiv w:val="1"/>
      <w:marLeft w:val="0"/>
      <w:marRight w:val="0"/>
      <w:marTop w:val="0"/>
      <w:marBottom w:val="0"/>
      <w:divBdr>
        <w:top w:val="none" w:sz="0" w:space="0" w:color="auto"/>
        <w:left w:val="none" w:sz="0" w:space="0" w:color="auto"/>
        <w:bottom w:val="none" w:sz="0" w:space="0" w:color="auto"/>
        <w:right w:val="none" w:sz="0" w:space="0" w:color="auto"/>
      </w:divBdr>
    </w:div>
    <w:div w:id="1193035371">
      <w:bodyDiv w:val="1"/>
      <w:marLeft w:val="0"/>
      <w:marRight w:val="0"/>
      <w:marTop w:val="0"/>
      <w:marBottom w:val="0"/>
      <w:divBdr>
        <w:top w:val="none" w:sz="0" w:space="0" w:color="auto"/>
        <w:left w:val="none" w:sz="0" w:space="0" w:color="auto"/>
        <w:bottom w:val="none" w:sz="0" w:space="0" w:color="auto"/>
        <w:right w:val="none" w:sz="0" w:space="0" w:color="auto"/>
      </w:divBdr>
    </w:div>
    <w:div w:id="1199970751">
      <w:bodyDiv w:val="1"/>
      <w:marLeft w:val="0"/>
      <w:marRight w:val="0"/>
      <w:marTop w:val="0"/>
      <w:marBottom w:val="0"/>
      <w:divBdr>
        <w:top w:val="none" w:sz="0" w:space="0" w:color="auto"/>
        <w:left w:val="none" w:sz="0" w:space="0" w:color="auto"/>
        <w:bottom w:val="none" w:sz="0" w:space="0" w:color="auto"/>
        <w:right w:val="none" w:sz="0" w:space="0" w:color="auto"/>
      </w:divBdr>
    </w:div>
    <w:div w:id="1213036365">
      <w:bodyDiv w:val="1"/>
      <w:marLeft w:val="0"/>
      <w:marRight w:val="0"/>
      <w:marTop w:val="0"/>
      <w:marBottom w:val="0"/>
      <w:divBdr>
        <w:top w:val="none" w:sz="0" w:space="0" w:color="auto"/>
        <w:left w:val="none" w:sz="0" w:space="0" w:color="auto"/>
        <w:bottom w:val="none" w:sz="0" w:space="0" w:color="auto"/>
        <w:right w:val="none" w:sz="0" w:space="0" w:color="auto"/>
      </w:divBdr>
    </w:div>
    <w:div w:id="1215048343">
      <w:bodyDiv w:val="1"/>
      <w:marLeft w:val="0"/>
      <w:marRight w:val="0"/>
      <w:marTop w:val="0"/>
      <w:marBottom w:val="0"/>
      <w:divBdr>
        <w:top w:val="none" w:sz="0" w:space="0" w:color="auto"/>
        <w:left w:val="none" w:sz="0" w:space="0" w:color="auto"/>
        <w:bottom w:val="none" w:sz="0" w:space="0" w:color="auto"/>
        <w:right w:val="none" w:sz="0" w:space="0" w:color="auto"/>
      </w:divBdr>
    </w:div>
    <w:div w:id="1215696205">
      <w:bodyDiv w:val="1"/>
      <w:marLeft w:val="0"/>
      <w:marRight w:val="0"/>
      <w:marTop w:val="0"/>
      <w:marBottom w:val="0"/>
      <w:divBdr>
        <w:top w:val="none" w:sz="0" w:space="0" w:color="auto"/>
        <w:left w:val="none" w:sz="0" w:space="0" w:color="auto"/>
        <w:bottom w:val="none" w:sz="0" w:space="0" w:color="auto"/>
        <w:right w:val="none" w:sz="0" w:space="0" w:color="auto"/>
      </w:divBdr>
    </w:div>
    <w:div w:id="1217668785">
      <w:bodyDiv w:val="1"/>
      <w:marLeft w:val="0"/>
      <w:marRight w:val="0"/>
      <w:marTop w:val="0"/>
      <w:marBottom w:val="0"/>
      <w:divBdr>
        <w:top w:val="none" w:sz="0" w:space="0" w:color="auto"/>
        <w:left w:val="none" w:sz="0" w:space="0" w:color="auto"/>
        <w:bottom w:val="none" w:sz="0" w:space="0" w:color="auto"/>
        <w:right w:val="none" w:sz="0" w:space="0" w:color="auto"/>
      </w:divBdr>
    </w:div>
    <w:div w:id="1227454891">
      <w:bodyDiv w:val="1"/>
      <w:marLeft w:val="0"/>
      <w:marRight w:val="0"/>
      <w:marTop w:val="0"/>
      <w:marBottom w:val="0"/>
      <w:divBdr>
        <w:top w:val="none" w:sz="0" w:space="0" w:color="auto"/>
        <w:left w:val="none" w:sz="0" w:space="0" w:color="auto"/>
        <w:bottom w:val="none" w:sz="0" w:space="0" w:color="auto"/>
        <w:right w:val="none" w:sz="0" w:space="0" w:color="auto"/>
      </w:divBdr>
    </w:div>
    <w:div w:id="1229002805">
      <w:bodyDiv w:val="1"/>
      <w:marLeft w:val="0"/>
      <w:marRight w:val="0"/>
      <w:marTop w:val="0"/>
      <w:marBottom w:val="0"/>
      <w:divBdr>
        <w:top w:val="none" w:sz="0" w:space="0" w:color="auto"/>
        <w:left w:val="none" w:sz="0" w:space="0" w:color="auto"/>
        <w:bottom w:val="none" w:sz="0" w:space="0" w:color="auto"/>
        <w:right w:val="none" w:sz="0" w:space="0" w:color="auto"/>
      </w:divBdr>
    </w:div>
    <w:div w:id="1230386693">
      <w:bodyDiv w:val="1"/>
      <w:marLeft w:val="0"/>
      <w:marRight w:val="0"/>
      <w:marTop w:val="0"/>
      <w:marBottom w:val="0"/>
      <w:divBdr>
        <w:top w:val="none" w:sz="0" w:space="0" w:color="auto"/>
        <w:left w:val="none" w:sz="0" w:space="0" w:color="auto"/>
        <w:bottom w:val="none" w:sz="0" w:space="0" w:color="auto"/>
        <w:right w:val="none" w:sz="0" w:space="0" w:color="auto"/>
      </w:divBdr>
    </w:div>
    <w:div w:id="1235166319">
      <w:bodyDiv w:val="1"/>
      <w:marLeft w:val="0"/>
      <w:marRight w:val="0"/>
      <w:marTop w:val="0"/>
      <w:marBottom w:val="0"/>
      <w:divBdr>
        <w:top w:val="none" w:sz="0" w:space="0" w:color="auto"/>
        <w:left w:val="none" w:sz="0" w:space="0" w:color="auto"/>
        <w:bottom w:val="none" w:sz="0" w:space="0" w:color="auto"/>
        <w:right w:val="none" w:sz="0" w:space="0" w:color="auto"/>
      </w:divBdr>
    </w:div>
    <w:div w:id="1243880093">
      <w:bodyDiv w:val="1"/>
      <w:marLeft w:val="0"/>
      <w:marRight w:val="0"/>
      <w:marTop w:val="0"/>
      <w:marBottom w:val="0"/>
      <w:divBdr>
        <w:top w:val="none" w:sz="0" w:space="0" w:color="auto"/>
        <w:left w:val="none" w:sz="0" w:space="0" w:color="auto"/>
        <w:bottom w:val="none" w:sz="0" w:space="0" w:color="auto"/>
        <w:right w:val="none" w:sz="0" w:space="0" w:color="auto"/>
      </w:divBdr>
    </w:div>
    <w:div w:id="1244099998">
      <w:bodyDiv w:val="1"/>
      <w:marLeft w:val="0"/>
      <w:marRight w:val="0"/>
      <w:marTop w:val="0"/>
      <w:marBottom w:val="0"/>
      <w:divBdr>
        <w:top w:val="none" w:sz="0" w:space="0" w:color="auto"/>
        <w:left w:val="none" w:sz="0" w:space="0" w:color="auto"/>
        <w:bottom w:val="none" w:sz="0" w:space="0" w:color="auto"/>
        <w:right w:val="none" w:sz="0" w:space="0" w:color="auto"/>
      </w:divBdr>
    </w:div>
    <w:div w:id="1252858251">
      <w:bodyDiv w:val="1"/>
      <w:marLeft w:val="0"/>
      <w:marRight w:val="0"/>
      <w:marTop w:val="0"/>
      <w:marBottom w:val="0"/>
      <w:divBdr>
        <w:top w:val="none" w:sz="0" w:space="0" w:color="auto"/>
        <w:left w:val="none" w:sz="0" w:space="0" w:color="auto"/>
        <w:bottom w:val="none" w:sz="0" w:space="0" w:color="auto"/>
        <w:right w:val="none" w:sz="0" w:space="0" w:color="auto"/>
      </w:divBdr>
    </w:div>
    <w:div w:id="1254974528">
      <w:bodyDiv w:val="1"/>
      <w:marLeft w:val="0"/>
      <w:marRight w:val="0"/>
      <w:marTop w:val="0"/>
      <w:marBottom w:val="0"/>
      <w:divBdr>
        <w:top w:val="none" w:sz="0" w:space="0" w:color="auto"/>
        <w:left w:val="none" w:sz="0" w:space="0" w:color="auto"/>
        <w:bottom w:val="none" w:sz="0" w:space="0" w:color="auto"/>
        <w:right w:val="none" w:sz="0" w:space="0" w:color="auto"/>
      </w:divBdr>
    </w:div>
    <w:div w:id="1254976784">
      <w:bodyDiv w:val="1"/>
      <w:marLeft w:val="0"/>
      <w:marRight w:val="0"/>
      <w:marTop w:val="0"/>
      <w:marBottom w:val="0"/>
      <w:divBdr>
        <w:top w:val="none" w:sz="0" w:space="0" w:color="auto"/>
        <w:left w:val="none" w:sz="0" w:space="0" w:color="auto"/>
        <w:bottom w:val="none" w:sz="0" w:space="0" w:color="auto"/>
        <w:right w:val="none" w:sz="0" w:space="0" w:color="auto"/>
      </w:divBdr>
    </w:div>
    <w:div w:id="1255436252">
      <w:bodyDiv w:val="1"/>
      <w:marLeft w:val="0"/>
      <w:marRight w:val="0"/>
      <w:marTop w:val="0"/>
      <w:marBottom w:val="0"/>
      <w:divBdr>
        <w:top w:val="none" w:sz="0" w:space="0" w:color="auto"/>
        <w:left w:val="none" w:sz="0" w:space="0" w:color="auto"/>
        <w:bottom w:val="none" w:sz="0" w:space="0" w:color="auto"/>
        <w:right w:val="none" w:sz="0" w:space="0" w:color="auto"/>
      </w:divBdr>
    </w:div>
    <w:div w:id="1256784913">
      <w:bodyDiv w:val="1"/>
      <w:marLeft w:val="0"/>
      <w:marRight w:val="0"/>
      <w:marTop w:val="0"/>
      <w:marBottom w:val="0"/>
      <w:divBdr>
        <w:top w:val="none" w:sz="0" w:space="0" w:color="auto"/>
        <w:left w:val="none" w:sz="0" w:space="0" w:color="auto"/>
        <w:bottom w:val="none" w:sz="0" w:space="0" w:color="auto"/>
        <w:right w:val="none" w:sz="0" w:space="0" w:color="auto"/>
      </w:divBdr>
    </w:div>
    <w:div w:id="1262225036">
      <w:bodyDiv w:val="1"/>
      <w:marLeft w:val="0"/>
      <w:marRight w:val="0"/>
      <w:marTop w:val="0"/>
      <w:marBottom w:val="0"/>
      <w:divBdr>
        <w:top w:val="none" w:sz="0" w:space="0" w:color="auto"/>
        <w:left w:val="none" w:sz="0" w:space="0" w:color="auto"/>
        <w:bottom w:val="none" w:sz="0" w:space="0" w:color="auto"/>
        <w:right w:val="none" w:sz="0" w:space="0" w:color="auto"/>
      </w:divBdr>
    </w:div>
    <w:div w:id="1264531862">
      <w:bodyDiv w:val="1"/>
      <w:marLeft w:val="0"/>
      <w:marRight w:val="0"/>
      <w:marTop w:val="0"/>
      <w:marBottom w:val="0"/>
      <w:divBdr>
        <w:top w:val="none" w:sz="0" w:space="0" w:color="auto"/>
        <w:left w:val="none" w:sz="0" w:space="0" w:color="auto"/>
        <w:bottom w:val="none" w:sz="0" w:space="0" w:color="auto"/>
        <w:right w:val="none" w:sz="0" w:space="0" w:color="auto"/>
      </w:divBdr>
    </w:div>
    <w:div w:id="1267274533">
      <w:bodyDiv w:val="1"/>
      <w:marLeft w:val="0"/>
      <w:marRight w:val="0"/>
      <w:marTop w:val="0"/>
      <w:marBottom w:val="0"/>
      <w:divBdr>
        <w:top w:val="none" w:sz="0" w:space="0" w:color="auto"/>
        <w:left w:val="none" w:sz="0" w:space="0" w:color="auto"/>
        <w:bottom w:val="none" w:sz="0" w:space="0" w:color="auto"/>
        <w:right w:val="none" w:sz="0" w:space="0" w:color="auto"/>
      </w:divBdr>
    </w:div>
    <w:div w:id="1273054727">
      <w:bodyDiv w:val="1"/>
      <w:marLeft w:val="0"/>
      <w:marRight w:val="0"/>
      <w:marTop w:val="0"/>
      <w:marBottom w:val="0"/>
      <w:divBdr>
        <w:top w:val="none" w:sz="0" w:space="0" w:color="auto"/>
        <w:left w:val="none" w:sz="0" w:space="0" w:color="auto"/>
        <w:bottom w:val="none" w:sz="0" w:space="0" w:color="auto"/>
        <w:right w:val="none" w:sz="0" w:space="0" w:color="auto"/>
      </w:divBdr>
    </w:div>
    <w:div w:id="1277250950">
      <w:bodyDiv w:val="1"/>
      <w:marLeft w:val="0"/>
      <w:marRight w:val="0"/>
      <w:marTop w:val="0"/>
      <w:marBottom w:val="0"/>
      <w:divBdr>
        <w:top w:val="none" w:sz="0" w:space="0" w:color="auto"/>
        <w:left w:val="none" w:sz="0" w:space="0" w:color="auto"/>
        <w:bottom w:val="none" w:sz="0" w:space="0" w:color="auto"/>
        <w:right w:val="none" w:sz="0" w:space="0" w:color="auto"/>
      </w:divBdr>
    </w:div>
    <w:div w:id="1279096923">
      <w:bodyDiv w:val="1"/>
      <w:marLeft w:val="0"/>
      <w:marRight w:val="0"/>
      <w:marTop w:val="0"/>
      <w:marBottom w:val="0"/>
      <w:divBdr>
        <w:top w:val="none" w:sz="0" w:space="0" w:color="auto"/>
        <w:left w:val="none" w:sz="0" w:space="0" w:color="auto"/>
        <w:bottom w:val="none" w:sz="0" w:space="0" w:color="auto"/>
        <w:right w:val="none" w:sz="0" w:space="0" w:color="auto"/>
      </w:divBdr>
    </w:div>
    <w:div w:id="1314530594">
      <w:bodyDiv w:val="1"/>
      <w:marLeft w:val="0"/>
      <w:marRight w:val="0"/>
      <w:marTop w:val="0"/>
      <w:marBottom w:val="0"/>
      <w:divBdr>
        <w:top w:val="none" w:sz="0" w:space="0" w:color="auto"/>
        <w:left w:val="none" w:sz="0" w:space="0" w:color="auto"/>
        <w:bottom w:val="none" w:sz="0" w:space="0" w:color="auto"/>
        <w:right w:val="none" w:sz="0" w:space="0" w:color="auto"/>
      </w:divBdr>
    </w:div>
    <w:div w:id="1318921263">
      <w:bodyDiv w:val="1"/>
      <w:marLeft w:val="0"/>
      <w:marRight w:val="0"/>
      <w:marTop w:val="0"/>
      <w:marBottom w:val="0"/>
      <w:divBdr>
        <w:top w:val="none" w:sz="0" w:space="0" w:color="auto"/>
        <w:left w:val="none" w:sz="0" w:space="0" w:color="auto"/>
        <w:bottom w:val="none" w:sz="0" w:space="0" w:color="auto"/>
        <w:right w:val="none" w:sz="0" w:space="0" w:color="auto"/>
      </w:divBdr>
    </w:div>
    <w:div w:id="1325628370">
      <w:bodyDiv w:val="1"/>
      <w:marLeft w:val="0"/>
      <w:marRight w:val="0"/>
      <w:marTop w:val="0"/>
      <w:marBottom w:val="0"/>
      <w:divBdr>
        <w:top w:val="none" w:sz="0" w:space="0" w:color="auto"/>
        <w:left w:val="none" w:sz="0" w:space="0" w:color="auto"/>
        <w:bottom w:val="none" w:sz="0" w:space="0" w:color="auto"/>
        <w:right w:val="none" w:sz="0" w:space="0" w:color="auto"/>
      </w:divBdr>
    </w:div>
    <w:div w:id="1329333855">
      <w:bodyDiv w:val="1"/>
      <w:marLeft w:val="0"/>
      <w:marRight w:val="0"/>
      <w:marTop w:val="0"/>
      <w:marBottom w:val="0"/>
      <w:divBdr>
        <w:top w:val="none" w:sz="0" w:space="0" w:color="auto"/>
        <w:left w:val="none" w:sz="0" w:space="0" w:color="auto"/>
        <w:bottom w:val="none" w:sz="0" w:space="0" w:color="auto"/>
        <w:right w:val="none" w:sz="0" w:space="0" w:color="auto"/>
      </w:divBdr>
    </w:div>
    <w:div w:id="1332223377">
      <w:bodyDiv w:val="1"/>
      <w:marLeft w:val="0"/>
      <w:marRight w:val="0"/>
      <w:marTop w:val="0"/>
      <w:marBottom w:val="0"/>
      <w:divBdr>
        <w:top w:val="none" w:sz="0" w:space="0" w:color="auto"/>
        <w:left w:val="none" w:sz="0" w:space="0" w:color="auto"/>
        <w:bottom w:val="none" w:sz="0" w:space="0" w:color="auto"/>
        <w:right w:val="none" w:sz="0" w:space="0" w:color="auto"/>
      </w:divBdr>
    </w:div>
    <w:div w:id="1337343052">
      <w:bodyDiv w:val="1"/>
      <w:marLeft w:val="0"/>
      <w:marRight w:val="0"/>
      <w:marTop w:val="0"/>
      <w:marBottom w:val="0"/>
      <w:divBdr>
        <w:top w:val="none" w:sz="0" w:space="0" w:color="auto"/>
        <w:left w:val="none" w:sz="0" w:space="0" w:color="auto"/>
        <w:bottom w:val="none" w:sz="0" w:space="0" w:color="auto"/>
        <w:right w:val="none" w:sz="0" w:space="0" w:color="auto"/>
      </w:divBdr>
    </w:div>
    <w:div w:id="1340036381">
      <w:bodyDiv w:val="1"/>
      <w:marLeft w:val="0"/>
      <w:marRight w:val="0"/>
      <w:marTop w:val="0"/>
      <w:marBottom w:val="0"/>
      <w:divBdr>
        <w:top w:val="none" w:sz="0" w:space="0" w:color="auto"/>
        <w:left w:val="none" w:sz="0" w:space="0" w:color="auto"/>
        <w:bottom w:val="none" w:sz="0" w:space="0" w:color="auto"/>
        <w:right w:val="none" w:sz="0" w:space="0" w:color="auto"/>
      </w:divBdr>
    </w:div>
    <w:div w:id="1340159159">
      <w:bodyDiv w:val="1"/>
      <w:marLeft w:val="0"/>
      <w:marRight w:val="0"/>
      <w:marTop w:val="0"/>
      <w:marBottom w:val="0"/>
      <w:divBdr>
        <w:top w:val="none" w:sz="0" w:space="0" w:color="auto"/>
        <w:left w:val="none" w:sz="0" w:space="0" w:color="auto"/>
        <w:bottom w:val="none" w:sz="0" w:space="0" w:color="auto"/>
        <w:right w:val="none" w:sz="0" w:space="0" w:color="auto"/>
      </w:divBdr>
    </w:div>
    <w:div w:id="1342665301">
      <w:bodyDiv w:val="1"/>
      <w:marLeft w:val="0"/>
      <w:marRight w:val="0"/>
      <w:marTop w:val="0"/>
      <w:marBottom w:val="0"/>
      <w:divBdr>
        <w:top w:val="none" w:sz="0" w:space="0" w:color="auto"/>
        <w:left w:val="none" w:sz="0" w:space="0" w:color="auto"/>
        <w:bottom w:val="none" w:sz="0" w:space="0" w:color="auto"/>
        <w:right w:val="none" w:sz="0" w:space="0" w:color="auto"/>
      </w:divBdr>
    </w:div>
    <w:div w:id="1345783868">
      <w:bodyDiv w:val="1"/>
      <w:marLeft w:val="0"/>
      <w:marRight w:val="0"/>
      <w:marTop w:val="0"/>
      <w:marBottom w:val="0"/>
      <w:divBdr>
        <w:top w:val="none" w:sz="0" w:space="0" w:color="auto"/>
        <w:left w:val="none" w:sz="0" w:space="0" w:color="auto"/>
        <w:bottom w:val="none" w:sz="0" w:space="0" w:color="auto"/>
        <w:right w:val="none" w:sz="0" w:space="0" w:color="auto"/>
      </w:divBdr>
    </w:div>
    <w:div w:id="1350062681">
      <w:bodyDiv w:val="1"/>
      <w:marLeft w:val="0"/>
      <w:marRight w:val="0"/>
      <w:marTop w:val="0"/>
      <w:marBottom w:val="0"/>
      <w:divBdr>
        <w:top w:val="none" w:sz="0" w:space="0" w:color="auto"/>
        <w:left w:val="none" w:sz="0" w:space="0" w:color="auto"/>
        <w:bottom w:val="none" w:sz="0" w:space="0" w:color="auto"/>
        <w:right w:val="none" w:sz="0" w:space="0" w:color="auto"/>
      </w:divBdr>
    </w:div>
    <w:div w:id="1366905104">
      <w:bodyDiv w:val="1"/>
      <w:marLeft w:val="0"/>
      <w:marRight w:val="0"/>
      <w:marTop w:val="0"/>
      <w:marBottom w:val="0"/>
      <w:divBdr>
        <w:top w:val="none" w:sz="0" w:space="0" w:color="auto"/>
        <w:left w:val="none" w:sz="0" w:space="0" w:color="auto"/>
        <w:bottom w:val="none" w:sz="0" w:space="0" w:color="auto"/>
        <w:right w:val="none" w:sz="0" w:space="0" w:color="auto"/>
      </w:divBdr>
    </w:div>
    <w:div w:id="1386220802">
      <w:bodyDiv w:val="1"/>
      <w:marLeft w:val="0"/>
      <w:marRight w:val="0"/>
      <w:marTop w:val="0"/>
      <w:marBottom w:val="0"/>
      <w:divBdr>
        <w:top w:val="none" w:sz="0" w:space="0" w:color="auto"/>
        <w:left w:val="none" w:sz="0" w:space="0" w:color="auto"/>
        <w:bottom w:val="none" w:sz="0" w:space="0" w:color="auto"/>
        <w:right w:val="none" w:sz="0" w:space="0" w:color="auto"/>
      </w:divBdr>
    </w:div>
    <w:div w:id="1386643365">
      <w:bodyDiv w:val="1"/>
      <w:marLeft w:val="0"/>
      <w:marRight w:val="0"/>
      <w:marTop w:val="0"/>
      <w:marBottom w:val="0"/>
      <w:divBdr>
        <w:top w:val="none" w:sz="0" w:space="0" w:color="auto"/>
        <w:left w:val="none" w:sz="0" w:space="0" w:color="auto"/>
        <w:bottom w:val="none" w:sz="0" w:space="0" w:color="auto"/>
        <w:right w:val="none" w:sz="0" w:space="0" w:color="auto"/>
      </w:divBdr>
    </w:div>
    <w:div w:id="1388839204">
      <w:bodyDiv w:val="1"/>
      <w:marLeft w:val="0"/>
      <w:marRight w:val="0"/>
      <w:marTop w:val="0"/>
      <w:marBottom w:val="0"/>
      <w:divBdr>
        <w:top w:val="none" w:sz="0" w:space="0" w:color="auto"/>
        <w:left w:val="none" w:sz="0" w:space="0" w:color="auto"/>
        <w:bottom w:val="none" w:sz="0" w:space="0" w:color="auto"/>
        <w:right w:val="none" w:sz="0" w:space="0" w:color="auto"/>
      </w:divBdr>
    </w:div>
    <w:div w:id="1388843028">
      <w:bodyDiv w:val="1"/>
      <w:marLeft w:val="0"/>
      <w:marRight w:val="0"/>
      <w:marTop w:val="0"/>
      <w:marBottom w:val="0"/>
      <w:divBdr>
        <w:top w:val="none" w:sz="0" w:space="0" w:color="auto"/>
        <w:left w:val="none" w:sz="0" w:space="0" w:color="auto"/>
        <w:bottom w:val="none" w:sz="0" w:space="0" w:color="auto"/>
        <w:right w:val="none" w:sz="0" w:space="0" w:color="auto"/>
      </w:divBdr>
    </w:div>
    <w:div w:id="1392651679">
      <w:bodyDiv w:val="1"/>
      <w:marLeft w:val="0"/>
      <w:marRight w:val="0"/>
      <w:marTop w:val="0"/>
      <w:marBottom w:val="0"/>
      <w:divBdr>
        <w:top w:val="none" w:sz="0" w:space="0" w:color="auto"/>
        <w:left w:val="none" w:sz="0" w:space="0" w:color="auto"/>
        <w:bottom w:val="none" w:sz="0" w:space="0" w:color="auto"/>
        <w:right w:val="none" w:sz="0" w:space="0" w:color="auto"/>
      </w:divBdr>
    </w:div>
    <w:div w:id="1397586594">
      <w:bodyDiv w:val="1"/>
      <w:marLeft w:val="0"/>
      <w:marRight w:val="0"/>
      <w:marTop w:val="0"/>
      <w:marBottom w:val="0"/>
      <w:divBdr>
        <w:top w:val="none" w:sz="0" w:space="0" w:color="auto"/>
        <w:left w:val="none" w:sz="0" w:space="0" w:color="auto"/>
        <w:bottom w:val="none" w:sz="0" w:space="0" w:color="auto"/>
        <w:right w:val="none" w:sz="0" w:space="0" w:color="auto"/>
      </w:divBdr>
    </w:div>
    <w:div w:id="1400521917">
      <w:bodyDiv w:val="1"/>
      <w:marLeft w:val="0"/>
      <w:marRight w:val="0"/>
      <w:marTop w:val="0"/>
      <w:marBottom w:val="0"/>
      <w:divBdr>
        <w:top w:val="none" w:sz="0" w:space="0" w:color="auto"/>
        <w:left w:val="none" w:sz="0" w:space="0" w:color="auto"/>
        <w:bottom w:val="none" w:sz="0" w:space="0" w:color="auto"/>
        <w:right w:val="none" w:sz="0" w:space="0" w:color="auto"/>
      </w:divBdr>
    </w:div>
    <w:div w:id="1411581143">
      <w:bodyDiv w:val="1"/>
      <w:marLeft w:val="0"/>
      <w:marRight w:val="0"/>
      <w:marTop w:val="0"/>
      <w:marBottom w:val="0"/>
      <w:divBdr>
        <w:top w:val="none" w:sz="0" w:space="0" w:color="auto"/>
        <w:left w:val="none" w:sz="0" w:space="0" w:color="auto"/>
        <w:bottom w:val="none" w:sz="0" w:space="0" w:color="auto"/>
        <w:right w:val="none" w:sz="0" w:space="0" w:color="auto"/>
      </w:divBdr>
    </w:div>
    <w:div w:id="1412659204">
      <w:bodyDiv w:val="1"/>
      <w:marLeft w:val="0"/>
      <w:marRight w:val="0"/>
      <w:marTop w:val="0"/>
      <w:marBottom w:val="0"/>
      <w:divBdr>
        <w:top w:val="none" w:sz="0" w:space="0" w:color="auto"/>
        <w:left w:val="none" w:sz="0" w:space="0" w:color="auto"/>
        <w:bottom w:val="none" w:sz="0" w:space="0" w:color="auto"/>
        <w:right w:val="none" w:sz="0" w:space="0" w:color="auto"/>
      </w:divBdr>
    </w:div>
    <w:div w:id="1418749777">
      <w:bodyDiv w:val="1"/>
      <w:marLeft w:val="0"/>
      <w:marRight w:val="0"/>
      <w:marTop w:val="0"/>
      <w:marBottom w:val="0"/>
      <w:divBdr>
        <w:top w:val="none" w:sz="0" w:space="0" w:color="auto"/>
        <w:left w:val="none" w:sz="0" w:space="0" w:color="auto"/>
        <w:bottom w:val="none" w:sz="0" w:space="0" w:color="auto"/>
        <w:right w:val="none" w:sz="0" w:space="0" w:color="auto"/>
      </w:divBdr>
    </w:div>
    <w:div w:id="1422600891">
      <w:bodyDiv w:val="1"/>
      <w:marLeft w:val="0"/>
      <w:marRight w:val="0"/>
      <w:marTop w:val="0"/>
      <w:marBottom w:val="0"/>
      <w:divBdr>
        <w:top w:val="none" w:sz="0" w:space="0" w:color="auto"/>
        <w:left w:val="none" w:sz="0" w:space="0" w:color="auto"/>
        <w:bottom w:val="none" w:sz="0" w:space="0" w:color="auto"/>
        <w:right w:val="none" w:sz="0" w:space="0" w:color="auto"/>
      </w:divBdr>
    </w:div>
    <w:div w:id="1425491924">
      <w:bodyDiv w:val="1"/>
      <w:marLeft w:val="0"/>
      <w:marRight w:val="0"/>
      <w:marTop w:val="0"/>
      <w:marBottom w:val="0"/>
      <w:divBdr>
        <w:top w:val="none" w:sz="0" w:space="0" w:color="auto"/>
        <w:left w:val="none" w:sz="0" w:space="0" w:color="auto"/>
        <w:bottom w:val="none" w:sz="0" w:space="0" w:color="auto"/>
        <w:right w:val="none" w:sz="0" w:space="0" w:color="auto"/>
      </w:divBdr>
    </w:div>
    <w:div w:id="1432119529">
      <w:bodyDiv w:val="1"/>
      <w:marLeft w:val="0"/>
      <w:marRight w:val="0"/>
      <w:marTop w:val="0"/>
      <w:marBottom w:val="0"/>
      <w:divBdr>
        <w:top w:val="none" w:sz="0" w:space="0" w:color="auto"/>
        <w:left w:val="none" w:sz="0" w:space="0" w:color="auto"/>
        <w:bottom w:val="none" w:sz="0" w:space="0" w:color="auto"/>
        <w:right w:val="none" w:sz="0" w:space="0" w:color="auto"/>
      </w:divBdr>
    </w:div>
    <w:div w:id="1435520376">
      <w:bodyDiv w:val="1"/>
      <w:marLeft w:val="0"/>
      <w:marRight w:val="0"/>
      <w:marTop w:val="0"/>
      <w:marBottom w:val="0"/>
      <w:divBdr>
        <w:top w:val="none" w:sz="0" w:space="0" w:color="auto"/>
        <w:left w:val="none" w:sz="0" w:space="0" w:color="auto"/>
        <w:bottom w:val="none" w:sz="0" w:space="0" w:color="auto"/>
        <w:right w:val="none" w:sz="0" w:space="0" w:color="auto"/>
      </w:divBdr>
    </w:div>
    <w:div w:id="1446342615">
      <w:bodyDiv w:val="1"/>
      <w:marLeft w:val="0"/>
      <w:marRight w:val="0"/>
      <w:marTop w:val="0"/>
      <w:marBottom w:val="0"/>
      <w:divBdr>
        <w:top w:val="none" w:sz="0" w:space="0" w:color="auto"/>
        <w:left w:val="none" w:sz="0" w:space="0" w:color="auto"/>
        <w:bottom w:val="none" w:sz="0" w:space="0" w:color="auto"/>
        <w:right w:val="none" w:sz="0" w:space="0" w:color="auto"/>
      </w:divBdr>
    </w:div>
    <w:div w:id="1451558784">
      <w:bodyDiv w:val="1"/>
      <w:marLeft w:val="0"/>
      <w:marRight w:val="0"/>
      <w:marTop w:val="0"/>
      <w:marBottom w:val="0"/>
      <w:divBdr>
        <w:top w:val="none" w:sz="0" w:space="0" w:color="auto"/>
        <w:left w:val="none" w:sz="0" w:space="0" w:color="auto"/>
        <w:bottom w:val="none" w:sz="0" w:space="0" w:color="auto"/>
        <w:right w:val="none" w:sz="0" w:space="0" w:color="auto"/>
      </w:divBdr>
    </w:div>
    <w:div w:id="1454053199">
      <w:bodyDiv w:val="1"/>
      <w:marLeft w:val="0"/>
      <w:marRight w:val="0"/>
      <w:marTop w:val="0"/>
      <w:marBottom w:val="0"/>
      <w:divBdr>
        <w:top w:val="none" w:sz="0" w:space="0" w:color="auto"/>
        <w:left w:val="none" w:sz="0" w:space="0" w:color="auto"/>
        <w:bottom w:val="none" w:sz="0" w:space="0" w:color="auto"/>
        <w:right w:val="none" w:sz="0" w:space="0" w:color="auto"/>
      </w:divBdr>
    </w:div>
    <w:div w:id="1457330926">
      <w:bodyDiv w:val="1"/>
      <w:marLeft w:val="0"/>
      <w:marRight w:val="0"/>
      <w:marTop w:val="0"/>
      <w:marBottom w:val="0"/>
      <w:divBdr>
        <w:top w:val="none" w:sz="0" w:space="0" w:color="auto"/>
        <w:left w:val="none" w:sz="0" w:space="0" w:color="auto"/>
        <w:bottom w:val="none" w:sz="0" w:space="0" w:color="auto"/>
        <w:right w:val="none" w:sz="0" w:space="0" w:color="auto"/>
      </w:divBdr>
    </w:div>
    <w:div w:id="1462965501">
      <w:bodyDiv w:val="1"/>
      <w:marLeft w:val="0"/>
      <w:marRight w:val="0"/>
      <w:marTop w:val="0"/>
      <w:marBottom w:val="0"/>
      <w:divBdr>
        <w:top w:val="none" w:sz="0" w:space="0" w:color="auto"/>
        <w:left w:val="none" w:sz="0" w:space="0" w:color="auto"/>
        <w:bottom w:val="none" w:sz="0" w:space="0" w:color="auto"/>
        <w:right w:val="none" w:sz="0" w:space="0" w:color="auto"/>
      </w:divBdr>
    </w:div>
    <w:div w:id="1483424926">
      <w:bodyDiv w:val="1"/>
      <w:marLeft w:val="0"/>
      <w:marRight w:val="0"/>
      <w:marTop w:val="0"/>
      <w:marBottom w:val="0"/>
      <w:divBdr>
        <w:top w:val="none" w:sz="0" w:space="0" w:color="auto"/>
        <w:left w:val="none" w:sz="0" w:space="0" w:color="auto"/>
        <w:bottom w:val="none" w:sz="0" w:space="0" w:color="auto"/>
        <w:right w:val="none" w:sz="0" w:space="0" w:color="auto"/>
      </w:divBdr>
    </w:div>
    <w:div w:id="1484662034">
      <w:bodyDiv w:val="1"/>
      <w:marLeft w:val="0"/>
      <w:marRight w:val="0"/>
      <w:marTop w:val="0"/>
      <w:marBottom w:val="0"/>
      <w:divBdr>
        <w:top w:val="none" w:sz="0" w:space="0" w:color="auto"/>
        <w:left w:val="none" w:sz="0" w:space="0" w:color="auto"/>
        <w:bottom w:val="none" w:sz="0" w:space="0" w:color="auto"/>
        <w:right w:val="none" w:sz="0" w:space="0" w:color="auto"/>
      </w:divBdr>
    </w:div>
    <w:div w:id="1520581380">
      <w:bodyDiv w:val="1"/>
      <w:marLeft w:val="0"/>
      <w:marRight w:val="0"/>
      <w:marTop w:val="0"/>
      <w:marBottom w:val="0"/>
      <w:divBdr>
        <w:top w:val="none" w:sz="0" w:space="0" w:color="auto"/>
        <w:left w:val="none" w:sz="0" w:space="0" w:color="auto"/>
        <w:bottom w:val="none" w:sz="0" w:space="0" w:color="auto"/>
        <w:right w:val="none" w:sz="0" w:space="0" w:color="auto"/>
      </w:divBdr>
    </w:div>
    <w:div w:id="1522280382">
      <w:bodyDiv w:val="1"/>
      <w:marLeft w:val="0"/>
      <w:marRight w:val="0"/>
      <w:marTop w:val="0"/>
      <w:marBottom w:val="0"/>
      <w:divBdr>
        <w:top w:val="none" w:sz="0" w:space="0" w:color="auto"/>
        <w:left w:val="none" w:sz="0" w:space="0" w:color="auto"/>
        <w:bottom w:val="none" w:sz="0" w:space="0" w:color="auto"/>
        <w:right w:val="none" w:sz="0" w:space="0" w:color="auto"/>
      </w:divBdr>
    </w:div>
    <w:div w:id="1524439826">
      <w:bodyDiv w:val="1"/>
      <w:marLeft w:val="0"/>
      <w:marRight w:val="0"/>
      <w:marTop w:val="0"/>
      <w:marBottom w:val="0"/>
      <w:divBdr>
        <w:top w:val="none" w:sz="0" w:space="0" w:color="auto"/>
        <w:left w:val="none" w:sz="0" w:space="0" w:color="auto"/>
        <w:bottom w:val="none" w:sz="0" w:space="0" w:color="auto"/>
        <w:right w:val="none" w:sz="0" w:space="0" w:color="auto"/>
      </w:divBdr>
    </w:div>
    <w:div w:id="1525905460">
      <w:bodyDiv w:val="1"/>
      <w:marLeft w:val="0"/>
      <w:marRight w:val="0"/>
      <w:marTop w:val="0"/>
      <w:marBottom w:val="0"/>
      <w:divBdr>
        <w:top w:val="none" w:sz="0" w:space="0" w:color="auto"/>
        <w:left w:val="none" w:sz="0" w:space="0" w:color="auto"/>
        <w:bottom w:val="none" w:sz="0" w:space="0" w:color="auto"/>
        <w:right w:val="none" w:sz="0" w:space="0" w:color="auto"/>
      </w:divBdr>
    </w:div>
    <w:div w:id="1526208622">
      <w:bodyDiv w:val="1"/>
      <w:marLeft w:val="0"/>
      <w:marRight w:val="0"/>
      <w:marTop w:val="0"/>
      <w:marBottom w:val="0"/>
      <w:divBdr>
        <w:top w:val="none" w:sz="0" w:space="0" w:color="auto"/>
        <w:left w:val="none" w:sz="0" w:space="0" w:color="auto"/>
        <w:bottom w:val="none" w:sz="0" w:space="0" w:color="auto"/>
        <w:right w:val="none" w:sz="0" w:space="0" w:color="auto"/>
      </w:divBdr>
    </w:div>
    <w:div w:id="1526360325">
      <w:bodyDiv w:val="1"/>
      <w:marLeft w:val="0"/>
      <w:marRight w:val="0"/>
      <w:marTop w:val="0"/>
      <w:marBottom w:val="0"/>
      <w:divBdr>
        <w:top w:val="none" w:sz="0" w:space="0" w:color="auto"/>
        <w:left w:val="none" w:sz="0" w:space="0" w:color="auto"/>
        <w:bottom w:val="none" w:sz="0" w:space="0" w:color="auto"/>
        <w:right w:val="none" w:sz="0" w:space="0" w:color="auto"/>
      </w:divBdr>
    </w:div>
    <w:div w:id="1529099216">
      <w:bodyDiv w:val="1"/>
      <w:marLeft w:val="0"/>
      <w:marRight w:val="0"/>
      <w:marTop w:val="0"/>
      <w:marBottom w:val="0"/>
      <w:divBdr>
        <w:top w:val="none" w:sz="0" w:space="0" w:color="auto"/>
        <w:left w:val="none" w:sz="0" w:space="0" w:color="auto"/>
        <w:bottom w:val="none" w:sz="0" w:space="0" w:color="auto"/>
        <w:right w:val="none" w:sz="0" w:space="0" w:color="auto"/>
      </w:divBdr>
    </w:div>
    <w:div w:id="1529678408">
      <w:bodyDiv w:val="1"/>
      <w:marLeft w:val="0"/>
      <w:marRight w:val="0"/>
      <w:marTop w:val="0"/>
      <w:marBottom w:val="0"/>
      <w:divBdr>
        <w:top w:val="none" w:sz="0" w:space="0" w:color="auto"/>
        <w:left w:val="none" w:sz="0" w:space="0" w:color="auto"/>
        <w:bottom w:val="none" w:sz="0" w:space="0" w:color="auto"/>
        <w:right w:val="none" w:sz="0" w:space="0" w:color="auto"/>
      </w:divBdr>
    </w:div>
    <w:div w:id="1530605586">
      <w:bodyDiv w:val="1"/>
      <w:marLeft w:val="0"/>
      <w:marRight w:val="0"/>
      <w:marTop w:val="0"/>
      <w:marBottom w:val="0"/>
      <w:divBdr>
        <w:top w:val="none" w:sz="0" w:space="0" w:color="auto"/>
        <w:left w:val="none" w:sz="0" w:space="0" w:color="auto"/>
        <w:bottom w:val="none" w:sz="0" w:space="0" w:color="auto"/>
        <w:right w:val="none" w:sz="0" w:space="0" w:color="auto"/>
      </w:divBdr>
    </w:div>
    <w:div w:id="1531917671">
      <w:bodyDiv w:val="1"/>
      <w:marLeft w:val="0"/>
      <w:marRight w:val="0"/>
      <w:marTop w:val="0"/>
      <w:marBottom w:val="0"/>
      <w:divBdr>
        <w:top w:val="none" w:sz="0" w:space="0" w:color="auto"/>
        <w:left w:val="none" w:sz="0" w:space="0" w:color="auto"/>
        <w:bottom w:val="none" w:sz="0" w:space="0" w:color="auto"/>
        <w:right w:val="none" w:sz="0" w:space="0" w:color="auto"/>
      </w:divBdr>
    </w:div>
    <w:div w:id="1536889663">
      <w:bodyDiv w:val="1"/>
      <w:marLeft w:val="0"/>
      <w:marRight w:val="0"/>
      <w:marTop w:val="0"/>
      <w:marBottom w:val="0"/>
      <w:divBdr>
        <w:top w:val="none" w:sz="0" w:space="0" w:color="auto"/>
        <w:left w:val="none" w:sz="0" w:space="0" w:color="auto"/>
        <w:bottom w:val="none" w:sz="0" w:space="0" w:color="auto"/>
        <w:right w:val="none" w:sz="0" w:space="0" w:color="auto"/>
      </w:divBdr>
    </w:div>
    <w:div w:id="1546018373">
      <w:bodyDiv w:val="1"/>
      <w:marLeft w:val="0"/>
      <w:marRight w:val="0"/>
      <w:marTop w:val="0"/>
      <w:marBottom w:val="0"/>
      <w:divBdr>
        <w:top w:val="none" w:sz="0" w:space="0" w:color="auto"/>
        <w:left w:val="none" w:sz="0" w:space="0" w:color="auto"/>
        <w:bottom w:val="none" w:sz="0" w:space="0" w:color="auto"/>
        <w:right w:val="none" w:sz="0" w:space="0" w:color="auto"/>
      </w:divBdr>
    </w:div>
    <w:div w:id="1546679900">
      <w:bodyDiv w:val="1"/>
      <w:marLeft w:val="0"/>
      <w:marRight w:val="0"/>
      <w:marTop w:val="0"/>
      <w:marBottom w:val="0"/>
      <w:divBdr>
        <w:top w:val="none" w:sz="0" w:space="0" w:color="auto"/>
        <w:left w:val="none" w:sz="0" w:space="0" w:color="auto"/>
        <w:bottom w:val="none" w:sz="0" w:space="0" w:color="auto"/>
        <w:right w:val="none" w:sz="0" w:space="0" w:color="auto"/>
      </w:divBdr>
    </w:div>
    <w:div w:id="1548105297">
      <w:bodyDiv w:val="1"/>
      <w:marLeft w:val="0"/>
      <w:marRight w:val="0"/>
      <w:marTop w:val="0"/>
      <w:marBottom w:val="0"/>
      <w:divBdr>
        <w:top w:val="none" w:sz="0" w:space="0" w:color="auto"/>
        <w:left w:val="none" w:sz="0" w:space="0" w:color="auto"/>
        <w:bottom w:val="none" w:sz="0" w:space="0" w:color="auto"/>
        <w:right w:val="none" w:sz="0" w:space="0" w:color="auto"/>
      </w:divBdr>
    </w:div>
    <w:div w:id="1560939229">
      <w:bodyDiv w:val="1"/>
      <w:marLeft w:val="0"/>
      <w:marRight w:val="0"/>
      <w:marTop w:val="0"/>
      <w:marBottom w:val="0"/>
      <w:divBdr>
        <w:top w:val="none" w:sz="0" w:space="0" w:color="auto"/>
        <w:left w:val="none" w:sz="0" w:space="0" w:color="auto"/>
        <w:bottom w:val="none" w:sz="0" w:space="0" w:color="auto"/>
        <w:right w:val="none" w:sz="0" w:space="0" w:color="auto"/>
      </w:divBdr>
    </w:div>
    <w:div w:id="1565680072">
      <w:bodyDiv w:val="1"/>
      <w:marLeft w:val="0"/>
      <w:marRight w:val="0"/>
      <w:marTop w:val="0"/>
      <w:marBottom w:val="0"/>
      <w:divBdr>
        <w:top w:val="none" w:sz="0" w:space="0" w:color="auto"/>
        <w:left w:val="none" w:sz="0" w:space="0" w:color="auto"/>
        <w:bottom w:val="none" w:sz="0" w:space="0" w:color="auto"/>
        <w:right w:val="none" w:sz="0" w:space="0" w:color="auto"/>
      </w:divBdr>
    </w:div>
    <w:div w:id="1571188888">
      <w:bodyDiv w:val="1"/>
      <w:marLeft w:val="0"/>
      <w:marRight w:val="0"/>
      <w:marTop w:val="0"/>
      <w:marBottom w:val="0"/>
      <w:divBdr>
        <w:top w:val="none" w:sz="0" w:space="0" w:color="auto"/>
        <w:left w:val="none" w:sz="0" w:space="0" w:color="auto"/>
        <w:bottom w:val="none" w:sz="0" w:space="0" w:color="auto"/>
        <w:right w:val="none" w:sz="0" w:space="0" w:color="auto"/>
      </w:divBdr>
    </w:div>
    <w:div w:id="1576474686">
      <w:bodyDiv w:val="1"/>
      <w:marLeft w:val="0"/>
      <w:marRight w:val="0"/>
      <w:marTop w:val="0"/>
      <w:marBottom w:val="0"/>
      <w:divBdr>
        <w:top w:val="none" w:sz="0" w:space="0" w:color="auto"/>
        <w:left w:val="none" w:sz="0" w:space="0" w:color="auto"/>
        <w:bottom w:val="none" w:sz="0" w:space="0" w:color="auto"/>
        <w:right w:val="none" w:sz="0" w:space="0" w:color="auto"/>
      </w:divBdr>
    </w:div>
    <w:div w:id="1581716910">
      <w:bodyDiv w:val="1"/>
      <w:marLeft w:val="0"/>
      <w:marRight w:val="0"/>
      <w:marTop w:val="0"/>
      <w:marBottom w:val="0"/>
      <w:divBdr>
        <w:top w:val="none" w:sz="0" w:space="0" w:color="auto"/>
        <w:left w:val="none" w:sz="0" w:space="0" w:color="auto"/>
        <w:bottom w:val="none" w:sz="0" w:space="0" w:color="auto"/>
        <w:right w:val="none" w:sz="0" w:space="0" w:color="auto"/>
      </w:divBdr>
    </w:div>
    <w:div w:id="1584530771">
      <w:bodyDiv w:val="1"/>
      <w:marLeft w:val="0"/>
      <w:marRight w:val="0"/>
      <w:marTop w:val="0"/>
      <w:marBottom w:val="0"/>
      <w:divBdr>
        <w:top w:val="none" w:sz="0" w:space="0" w:color="auto"/>
        <w:left w:val="none" w:sz="0" w:space="0" w:color="auto"/>
        <w:bottom w:val="none" w:sz="0" w:space="0" w:color="auto"/>
        <w:right w:val="none" w:sz="0" w:space="0" w:color="auto"/>
      </w:divBdr>
    </w:div>
    <w:div w:id="1586449377">
      <w:bodyDiv w:val="1"/>
      <w:marLeft w:val="0"/>
      <w:marRight w:val="0"/>
      <w:marTop w:val="0"/>
      <w:marBottom w:val="0"/>
      <w:divBdr>
        <w:top w:val="none" w:sz="0" w:space="0" w:color="auto"/>
        <w:left w:val="none" w:sz="0" w:space="0" w:color="auto"/>
        <w:bottom w:val="none" w:sz="0" w:space="0" w:color="auto"/>
        <w:right w:val="none" w:sz="0" w:space="0" w:color="auto"/>
      </w:divBdr>
    </w:div>
    <w:div w:id="1588072739">
      <w:bodyDiv w:val="1"/>
      <w:marLeft w:val="0"/>
      <w:marRight w:val="0"/>
      <w:marTop w:val="0"/>
      <w:marBottom w:val="0"/>
      <w:divBdr>
        <w:top w:val="none" w:sz="0" w:space="0" w:color="auto"/>
        <w:left w:val="none" w:sz="0" w:space="0" w:color="auto"/>
        <w:bottom w:val="none" w:sz="0" w:space="0" w:color="auto"/>
        <w:right w:val="none" w:sz="0" w:space="0" w:color="auto"/>
      </w:divBdr>
    </w:div>
    <w:div w:id="1590384218">
      <w:bodyDiv w:val="1"/>
      <w:marLeft w:val="0"/>
      <w:marRight w:val="0"/>
      <w:marTop w:val="0"/>
      <w:marBottom w:val="0"/>
      <w:divBdr>
        <w:top w:val="none" w:sz="0" w:space="0" w:color="auto"/>
        <w:left w:val="none" w:sz="0" w:space="0" w:color="auto"/>
        <w:bottom w:val="none" w:sz="0" w:space="0" w:color="auto"/>
        <w:right w:val="none" w:sz="0" w:space="0" w:color="auto"/>
      </w:divBdr>
    </w:div>
    <w:div w:id="1590582610">
      <w:bodyDiv w:val="1"/>
      <w:marLeft w:val="0"/>
      <w:marRight w:val="0"/>
      <w:marTop w:val="0"/>
      <w:marBottom w:val="0"/>
      <w:divBdr>
        <w:top w:val="none" w:sz="0" w:space="0" w:color="auto"/>
        <w:left w:val="none" w:sz="0" w:space="0" w:color="auto"/>
        <w:bottom w:val="none" w:sz="0" w:space="0" w:color="auto"/>
        <w:right w:val="none" w:sz="0" w:space="0" w:color="auto"/>
      </w:divBdr>
    </w:div>
    <w:div w:id="1591622357">
      <w:bodyDiv w:val="1"/>
      <w:marLeft w:val="0"/>
      <w:marRight w:val="0"/>
      <w:marTop w:val="0"/>
      <w:marBottom w:val="0"/>
      <w:divBdr>
        <w:top w:val="none" w:sz="0" w:space="0" w:color="auto"/>
        <w:left w:val="none" w:sz="0" w:space="0" w:color="auto"/>
        <w:bottom w:val="none" w:sz="0" w:space="0" w:color="auto"/>
        <w:right w:val="none" w:sz="0" w:space="0" w:color="auto"/>
      </w:divBdr>
    </w:div>
    <w:div w:id="1612132305">
      <w:bodyDiv w:val="1"/>
      <w:marLeft w:val="0"/>
      <w:marRight w:val="0"/>
      <w:marTop w:val="0"/>
      <w:marBottom w:val="0"/>
      <w:divBdr>
        <w:top w:val="none" w:sz="0" w:space="0" w:color="auto"/>
        <w:left w:val="none" w:sz="0" w:space="0" w:color="auto"/>
        <w:bottom w:val="none" w:sz="0" w:space="0" w:color="auto"/>
        <w:right w:val="none" w:sz="0" w:space="0" w:color="auto"/>
      </w:divBdr>
    </w:div>
    <w:div w:id="1621841540">
      <w:bodyDiv w:val="1"/>
      <w:marLeft w:val="0"/>
      <w:marRight w:val="0"/>
      <w:marTop w:val="0"/>
      <w:marBottom w:val="0"/>
      <w:divBdr>
        <w:top w:val="none" w:sz="0" w:space="0" w:color="auto"/>
        <w:left w:val="none" w:sz="0" w:space="0" w:color="auto"/>
        <w:bottom w:val="none" w:sz="0" w:space="0" w:color="auto"/>
        <w:right w:val="none" w:sz="0" w:space="0" w:color="auto"/>
      </w:divBdr>
    </w:div>
    <w:div w:id="1632008165">
      <w:bodyDiv w:val="1"/>
      <w:marLeft w:val="0"/>
      <w:marRight w:val="0"/>
      <w:marTop w:val="0"/>
      <w:marBottom w:val="0"/>
      <w:divBdr>
        <w:top w:val="none" w:sz="0" w:space="0" w:color="auto"/>
        <w:left w:val="none" w:sz="0" w:space="0" w:color="auto"/>
        <w:bottom w:val="none" w:sz="0" w:space="0" w:color="auto"/>
        <w:right w:val="none" w:sz="0" w:space="0" w:color="auto"/>
      </w:divBdr>
    </w:div>
    <w:div w:id="1637177452">
      <w:bodyDiv w:val="1"/>
      <w:marLeft w:val="0"/>
      <w:marRight w:val="0"/>
      <w:marTop w:val="0"/>
      <w:marBottom w:val="0"/>
      <w:divBdr>
        <w:top w:val="none" w:sz="0" w:space="0" w:color="auto"/>
        <w:left w:val="none" w:sz="0" w:space="0" w:color="auto"/>
        <w:bottom w:val="none" w:sz="0" w:space="0" w:color="auto"/>
        <w:right w:val="none" w:sz="0" w:space="0" w:color="auto"/>
      </w:divBdr>
    </w:div>
    <w:div w:id="1642610182">
      <w:bodyDiv w:val="1"/>
      <w:marLeft w:val="0"/>
      <w:marRight w:val="0"/>
      <w:marTop w:val="0"/>
      <w:marBottom w:val="0"/>
      <w:divBdr>
        <w:top w:val="none" w:sz="0" w:space="0" w:color="auto"/>
        <w:left w:val="none" w:sz="0" w:space="0" w:color="auto"/>
        <w:bottom w:val="none" w:sz="0" w:space="0" w:color="auto"/>
        <w:right w:val="none" w:sz="0" w:space="0" w:color="auto"/>
      </w:divBdr>
    </w:div>
    <w:div w:id="1646936710">
      <w:bodyDiv w:val="1"/>
      <w:marLeft w:val="0"/>
      <w:marRight w:val="0"/>
      <w:marTop w:val="0"/>
      <w:marBottom w:val="0"/>
      <w:divBdr>
        <w:top w:val="none" w:sz="0" w:space="0" w:color="auto"/>
        <w:left w:val="none" w:sz="0" w:space="0" w:color="auto"/>
        <w:bottom w:val="none" w:sz="0" w:space="0" w:color="auto"/>
        <w:right w:val="none" w:sz="0" w:space="0" w:color="auto"/>
      </w:divBdr>
    </w:div>
    <w:div w:id="1647975770">
      <w:bodyDiv w:val="1"/>
      <w:marLeft w:val="0"/>
      <w:marRight w:val="0"/>
      <w:marTop w:val="0"/>
      <w:marBottom w:val="0"/>
      <w:divBdr>
        <w:top w:val="none" w:sz="0" w:space="0" w:color="auto"/>
        <w:left w:val="none" w:sz="0" w:space="0" w:color="auto"/>
        <w:bottom w:val="none" w:sz="0" w:space="0" w:color="auto"/>
        <w:right w:val="none" w:sz="0" w:space="0" w:color="auto"/>
      </w:divBdr>
    </w:div>
    <w:div w:id="1652325359">
      <w:bodyDiv w:val="1"/>
      <w:marLeft w:val="0"/>
      <w:marRight w:val="0"/>
      <w:marTop w:val="0"/>
      <w:marBottom w:val="0"/>
      <w:divBdr>
        <w:top w:val="none" w:sz="0" w:space="0" w:color="auto"/>
        <w:left w:val="none" w:sz="0" w:space="0" w:color="auto"/>
        <w:bottom w:val="none" w:sz="0" w:space="0" w:color="auto"/>
        <w:right w:val="none" w:sz="0" w:space="0" w:color="auto"/>
      </w:divBdr>
    </w:div>
    <w:div w:id="1663971310">
      <w:bodyDiv w:val="1"/>
      <w:marLeft w:val="0"/>
      <w:marRight w:val="0"/>
      <w:marTop w:val="0"/>
      <w:marBottom w:val="0"/>
      <w:divBdr>
        <w:top w:val="none" w:sz="0" w:space="0" w:color="auto"/>
        <w:left w:val="none" w:sz="0" w:space="0" w:color="auto"/>
        <w:bottom w:val="none" w:sz="0" w:space="0" w:color="auto"/>
        <w:right w:val="none" w:sz="0" w:space="0" w:color="auto"/>
      </w:divBdr>
    </w:div>
    <w:div w:id="1670281835">
      <w:bodyDiv w:val="1"/>
      <w:marLeft w:val="0"/>
      <w:marRight w:val="0"/>
      <w:marTop w:val="0"/>
      <w:marBottom w:val="0"/>
      <w:divBdr>
        <w:top w:val="none" w:sz="0" w:space="0" w:color="auto"/>
        <w:left w:val="none" w:sz="0" w:space="0" w:color="auto"/>
        <w:bottom w:val="none" w:sz="0" w:space="0" w:color="auto"/>
        <w:right w:val="none" w:sz="0" w:space="0" w:color="auto"/>
      </w:divBdr>
    </w:div>
    <w:div w:id="1670518026">
      <w:bodyDiv w:val="1"/>
      <w:marLeft w:val="0"/>
      <w:marRight w:val="0"/>
      <w:marTop w:val="0"/>
      <w:marBottom w:val="0"/>
      <w:divBdr>
        <w:top w:val="none" w:sz="0" w:space="0" w:color="auto"/>
        <w:left w:val="none" w:sz="0" w:space="0" w:color="auto"/>
        <w:bottom w:val="none" w:sz="0" w:space="0" w:color="auto"/>
        <w:right w:val="none" w:sz="0" w:space="0" w:color="auto"/>
      </w:divBdr>
    </w:div>
    <w:div w:id="1673986698">
      <w:bodyDiv w:val="1"/>
      <w:marLeft w:val="0"/>
      <w:marRight w:val="0"/>
      <w:marTop w:val="0"/>
      <w:marBottom w:val="0"/>
      <w:divBdr>
        <w:top w:val="none" w:sz="0" w:space="0" w:color="auto"/>
        <w:left w:val="none" w:sz="0" w:space="0" w:color="auto"/>
        <w:bottom w:val="none" w:sz="0" w:space="0" w:color="auto"/>
        <w:right w:val="none" w:sz="0" w:space="0" w:color="auto"/>
      </w:divBdr>
    </w:div>
    <w:div w:id="1722174453">
      <w:bodyDiv w:val="1"/>
      <w:marLeft w:val="0"/>
      <w:marRight w:val="0"/>
      <w:marTop w:val="0"/>
      <w:marBottom w:val="0"/>
      <w:divBdr>
        <w:top w:val="none" w:sz="0" w:space="0" w:color="auto"/>
        <w:left w:val="none" w:sz="0" w:space="0" w:color="auto"/>
        <w:bottom w:val="none" w:sz="0" w:space="0" w:color="auto"/>
        <w:right w:val="none" w:sz="0" w:space="0" w:color="auto"/>
      </w:divBdr>
    </w:div>
    <w:div w:id="1722368009">
      <w:bodyDiv w:val="1"/>
      <w:marLeft w:val="0"/>
      <w:marRight w:val="0"/>
      <w:marTop w:val="0"/>
      <w:marBottom w:val="0"/>
      <w:divBdr>
        <w:top w:val="none" w:sz="0" w:space="0" w:color="auto"/>
        <w:left w:val="none" w:sz="0" w:space="0" w:color="auto"/>
        <w:bottom w:val="none" w:sz="0" w:space="0" w:color="auto"/>
        <w:right w:val="none" w:sz="0" w:space="0" w:color="auto"/>
      </w:divBdr>
    </w:div>
    <w:div w:id="1723477251">
      <w:bodyDiv w:val="1"/>
      <w:marLeft w:val="0"/>
      <w:marRight w:val="0"/>
      <w:marTop w:val="0"/>
      <w:marBottom w:val="0"/>
      <w:divBdr>
        <w:top w:val="none" w:sz="0" w:space="0" w:color="auto"/>
        <w:left w:val="none" w:sz="0" w:space="0" w:color="auto"/>
        <w:bottom w:val="none" w:sz="0" w:space="0" w:color="auto"/>
        <w:right w:val="none" w:sz="0" w:space="0" w:color="auto"/>
      </w:divBdr>
    </w:div>
    <w:div w:id="1727292811">
      <w:bodyDiv w:val="1"/>
      <w:marLeft w:val="0"/>
      <w:marRight w:val="0"/>
      <w:marTop w:val="0"/>
      <w:marBottom w:val="0"/>
      <w:divBdr>
        <w:top w:val="none" w:sz="0" w:space="0" w:color="auto"/>
        <w:left w:val="none" w:sz="0" w:space="0" w:color="auto"/>
        <w:bottom w:val="none" w:sz="0" w:space="0" w:color="auto"/>
        <w:right w:val="none" w:sz="0" w:space="0" w:color="auto"/>
      </w:divBdr>
    </w:div>
    <w:div w:id="1735083819">
      <w:bodyDiv w:val="1"/>
      <w:marLeft w:val="0"/>
      <w:marRight w:val="0"/>
      <w:marTop w:val="0"/>
      <w:marBottom w:val="0"/>
      <w:divBdr>
        <w:top w:val="none" w:sz="0" w:space="0" w:color="auto"/>
        <w:left w:val="none" w:sz="0" w:space="0" w:color="auto"/>
        <w:bottom w:val="none" w:sz="0" w:space="0" w:color="auto"/>
        <w:right w:val="none" w:sz="0" w:space="0" w:color="auto"/>
      </w:divBdr>
    </w:div>
    <w:div w:id="1741515685">
      <w:bodyDiv w:val="1"/>
      <w:marLeft w:val="0"/>
      <w:marRight w:val="0"/>
      <w:marTop w:val="0"/>
      <w:marBottom w:val="0"/>
      <w:divBdr>
        <w:top w:val="none" w:sz="0" w:space="0" w:color="auto"/>
        <w:left w:val="none" w:sz="0" w:space="0" w:color="auto"/>
        <w:bottom w:val="none" w:sz="0" w:space="0" w:color="auto"/>
        <w:right w:val="none" w:sz="0" w:space="0" w:color="auto"/>
      </w:divBdr>
    </w:div>
    <w:div w:id="1744181825">
      <w:bodyDiv w:val="1"/>
      <w:marLeft w:val="0"/>
      <w:marRight w:val="0"/>
      <w:marTop w:val="0"/>
      <w:marBottom w:val="0"/>
      <w:divBdr>
        <w:top w:val="none" w:sz="0" w:space="0" w:color="auto"/>
        <w:left w:val="none" w:sz="0" w:space="0" w:color="auto"/>
        <w:bottom w:val="none" w:sz="0" w:space="0" w:color="auto"/>
        <w:right w:val="none" w:sz="0" w:space="0" w:color="auto"/>
      </w:divBdr>
    </w:div>
    <w:div w:id="1767925449">
      <w:bodyDiv w:val="1"/>
      <w:marLeft w:val="0"/>
      <w:marRight w:val="0"/>
      <w:marTop w:val="0"/>
      <w:marBottom w:val="0"/>
      <w:divBdr>
        <w:top w:val="none" w:sz="0" w:space="0" w:color="auto"/>
        <w:left w:val="none" w:sz="0" w:space="0" w:color="auto"/>
        <w:bottom w:val="none" w:sz="0" w:space="0" w:color="auto"/>
        <w:right w:val="none" w:sz="0" w:space="0" w:color="auto"/>
      </w:divBdr>
    </w:div>
    <w:div w:id="1782990115">
      <w:bodyDiv w:val="1"/>
      <w:marLeft w:val="0"/>
      <w:marRight w:val="0"/>
      <w:marTop w:val="0"/>
      <w:marBottom w:val="0"/>
      <w:divBdr>
        <w:top w:val="none" w:sz="0" w:space="0" w:color="auto"/>
        <w:left w:val="none" w:sz="0" w:space="0" w:color="auto"/>
        <w:bottom w:val="none" w:sz="0" w:space="0" w:color="auto"/>
        <w:right w:val="none" w:sz="0" w:space="0" w:color="auto"/>
      </w:divBdr>
    </w:div>
    <w:div w:id="1785033913">
      <w:bodyDiv w:val="1"/>
      <w:marLeft w:val="0"/>
      <w:marRight w:val="0"/>
      <w:marTop w:val="0"/>
      <w:marBottom w:val="0"/>
      <w:divBdr>
        <w:top w:val="none" w:sz="0" w:space="0" w:color="auto"/>
        <w:left w:val="none" w:sz="0" w:space="0" w:color="auto"/>
        <w:bottom w:val="none" w:sz="0" w:space="0" w:color="auto"/>
        <w:right w:val="none" w:sz="0" w:space="0" w:color="auto"/>
      </w:divBdr>
    </w:div>
    <w:div w:id="1786731956">
      <w:bodyDiv w:val="1"/>
      <w:marLeft w:val="0"/>
      <w:marRight w:val="0"/>
      <w:marTop w:val="0"/>
      <w:marBottom w:val="0"/>
      <w:divBdr>
        <w:top w:val="none" w:sz="0" w:space="0" w:color="auto"/>
        <w:left w:val="none" w:sz="0" w:space="0" w:color="auto"/>
        <w:bottom w:val="none" w:sz="0" w:space="0" w:color="auto"/>
        <w:right w:val="none" w:sz="0" w:space="0" w:color="auto"/>
      </w:divBdr>
    </w:div>
    <w:div w:id="1786802979">
      <w:bodyDiv w:val="1"/>
      <w:marLeft w:val="0"/>
      <w:marRight w:val="0"/>
      <w:marTop w:val="0"/>
      <w:marBottom w:val="0"/>
      <w:divBdr>
        <w:top w:val="none" w:sz="0" w:space="0" w:color="auto"/>
        <w:left w:val="none" w:sz="0" w:space="0" w:color="auto"/>
        <w:bottom w:val="none" w:sz="0" w:space="0" w:color="auto"/>
        <w:right w:val="none" w:sz="0" w:space="0" w:color="auto"/>
      </w:divBdr>
    </w:div>
    <w:div w:id="1788163054">
      <w:bodyDiv w:val="1"/>
      <w:marLeft w:val="0"/>
      <w:marRight w:val="0"/>
      <w:marTop w:val="0"/>
      <w:marBottom w:val="0"/>
      <w:divBdr>
        <w:top w:val="none" w:sz="0" w:space="0" w:color="auto"/>
        <w:left w:val="none" w:sz="0" w:space="0" w:color="auto"/>
        <w:bottom w:val="none" w:sz="0" w:space="0" w:color="auto"/>
        <w:right w:val="none" w:sz="0" w:space="0" w:color="auto"/>
      </w:divBdr>
    </w:div>
    <w:div w:id="1804545605">
      <w:bodyDiv w:val="1"/>
      <w:marLeft w:val="0"/>
      <w:marRight w:val="0"/>
      <w:marTop w:val="0"/>
      <w:marBottom w:val="0"/>
      <w:divBdr>
        <w:top w:val="none" w:sz="0" w:space="0" w:color="auto"/>
        <w:left w:val="none" w:sz="0" w:space="0" w:color="auto"/>
        <w:bottom w:val="none" w:sz="0" w:space="0" w:color="auto"/>
        <w:right w:val="none" w:sz="0" w:space="0" w:color="auto"/>
      </w:divBdr>
    </w:div>
    <w:div w:id="1812794939">
      <w:bodyDiv w:val="1"/>
      <w:marLeft w:val="0"/>
      <w:marRight w:val="0"/>
      <w:marTop w:val="0"/>
      <w:marBottom w:val="0"/>
      <w:divBdr>
        <w:top w:val="none" w:sz="0" w:space="0" w:color="auto"/>
        <w:left w:val="none" w:sz="0" w:space="0" w:color="auto"/>
        <w:bottom w:val="none" w:sz="0" w:space="0" w:color="auto"/>
        <w:right w:val="none" w:sz="0" w:space="0" w:color="auto"/>
      </w:divBdr>
    </w:div>
    <w:div w:id="1814983113">
      <w:bodyDiv w:val="1"/>
      <w:marLeft w:val="0"/>
      <w:marRight w:val="0"/>
      <w:marTop w:val="0"/>
      <w:marBottom w:val="0"/>
      <w:divBdr>
        <w:top w:val="none" w:sz="0" w:space="0" w:color="auto"/>
        <w:left w:val="none" w:sz="0" w:space="0" w:color="auto"/>
        <w:bottom w:val="none" w:sz="0" w:space="0" w:color="auto"/>
        <w:right w:val="none" w:sz="0" w:space="0" w:color="auto"/>
      </w:divBdr>
    </w:div>
    <w:div w:id="1819107691">
      <w:bodyDiv w:val="1"/>
      <w:marLeft w:val="0"/>
      <w:marRight w:val="0"/>
      <w:marTop w:val="0"/>
      <w:marBottom w:val="0"/>
      <w:divBdr>
        <w:top w:val="none" w:sz="0" w:space="0" w:color="auto"/>
        <w:left w:val="none" w:sz="0" w:space="0" w:color="auto"/>
        <w:bottom w:val="none" w:sz="0" w:space="0" w:color="auto"/>
        <w:right w:val="none" w:sz="0" w:space="0" w:color="auto"/>
      </w:divBdr>
    </w:div>
    <w:div w:id="1840197601">
      <w:bodyDiv w:val="1"/>
      <w:marLeft w:val="0"/>
      <w:marRight w:val="0"/>
      <w:marTop w:val="0"/>
      <w:marBottom w:val="0"/>
      <w:divBdr>
        <w:top w:val="none" w:sz="0" w:space="0" w:color="auto"/>
        <w:left w:val="none" w:sz="0" w:space="0" w:color="auto"/>
        <w:bottom w:val="none" w:sz="0" w:space="0" w:color="auto"/>
        <w:right w:val="none" w:sz="0" w:space="0" w:color="auto"/>
      </w:divBdr>
    </w:div>
    <w:div w:id="1840659215">
      <w:bodyDiv w:val="1"/>
      <w:marLeft w:val="0"/>
      <w:marRight w:val="0"/>
      <w:marTop w:val="0"/>
      <w:marBottom w:val="0"/>
      <w:divBdr>
        <w:top w:val="none" w:sz="0" w:space="0" w:color="auto"/>
        <w:left w:val="none" w:sz="0" w:space="0" w:color="auto"/>
        <w:bottom w:val="none" w:sz="0" w:space="0" w:color="auto"/>
        <w:right w:val="none" w:sz="0" w:space="0" w:color="auto"/>
      </w:divBdr>
    </w:div>
    <w:div w:id="1845630450">
      <w:bodyDiv w:val="1"/>
      <w:marLeft w:val="0"/>
      <w:marRight w:val="0"/>
      <w:marTop w:val="0"/>
      <w:marBottom w:val="0"/>
      <w:divBdr>
        <w:top w:val="none" w:sz="0" w:space="0" w:color="auto"/>
        <w:left w:val="none" w:sz="0" w:space="0" w:color="auto"/>
        <w:bottom w:val="none" w:sz="0" w:space="0" w:color="auto"/>
        <w:right w:val="none" w:sz="0" w:space="0" w:color="auto"/>
      </w:divBdr>
    </w:div>
    <w:div w:id="1846356814">
      <w:bodyDiv w:val="1"/>
      <w:marLeft w:val="0"/>
      <w:marRight w:val="0"/>
      <w:marTop w:val="0"/>
      <w:marBottom w:val="0"/>
      <w:divBdr>
        <w:top w:val="none" w:sz="0" w:space="0" w:color="auto"/>
        <w:left w:val="none" w:sz="0" w:space="0" w:color="auto"/>
        <w:bottom w:val="none" w:sz="0" w:space="0" w:color="auto"/>
        <w:right w:val="none" w:sz="0" w:space="0" w:color="auto"/>
      </w:divBdr>
    </w:div>
    <w:div w:id="1851024918">
      <w:bodyDiv w:val="1"/>
      <w:marLeft w:val="0"/>
      <w:marRight w:val="0"/>
      <w:marTop w:val="0"/>
      <w:marBottom w:val="0"/>
      <w:divBdr>
        <w:top w:val="none" w:sz="0" w:space="0" w:color="auto"/>
        <w:left w:val="none" w:sz="0" w:space="0" w:color="auto"/>
        <w:bottom w:val="none" w:sz="0" w:space="0" w:color="auto"/>
        <w:right w:val="none" w:sz="0" w:space="0" w:color="auto"/>
      </w:divBdr>
    </w:div>
    <w:div w:id="1856336130">
      <w:bodyDiv w:val="1"/>
      <w:marLeft w:val="0"/>
      <w:marRight w:val="0"/>
      <w:marTop w:val="0"/>
      <w:marBottom w:val="0"/>
      <w:divBdr>
        <w:top w:val="none" w:sz="0" w:space="0" w:color="auto"/>
        <w:left w:val="none" w:sz="0" w:space="0" w:color="auto"/>
        <w:bottom w:val="none" w:sz="0" w:space="0" w:color="auto"/>
        <w:right w:val="none" w:sz="0" w:space="0" w:color="auto"/>
      </w:divBdr>
    </w:div>
    <w:div w:id="1882476781">
      <w:bodyDiv w:val="1"/>
      <w:marLeft w:val="0"/>
      <w:marRight w:val="0"/>
      <w:marTop w:val="0"/>
      <w:marBottom w:val="0"/>
      <w:divBdr>
        <w:top w:val="none" w:sz="0" w:space="0" w:color="auto"/>
        <w:left w:val="none" w:sz="0" w:space="0" w:color="auto"/>
        <w:bottom w:val="none" w:sz="0" w:space="0" w:color="auto"/>
        <w:right w:val="none" w:sz="0" w:space="0" w:color="auto"/>
      </w:divBdr>
    </w:div>
    <w:div w:id="1883587829">
      <w:bodyDiv w:val="1"/>
      <w:marLeft w:val="0"/>
      <w:marRight w:val="0"/>
      <w:marTop w:val="0"/>
      <w:marBottom w:val="0"/>
      <w:divBdr>
        <w:top w:val="none" w:sz="0" w:space="0" w:color="auto"/>
        <w:left w:val="none" w:sz="0" w:space="0" w:color="auto"/>
        <w:bottom w:val="none" w:sz="0" w:space="0" w:color="auto"/>
        <w:right w:val="none" w:sz="0" w:space="0" w:color="auto"/>
      </w:divBdr>
    </w:div>
    <w:div w:id="1891188415">
      <w:bodyDiv w:val="1"/>
      <w:marLeft w:val="0"/>
      <w:marRight w:val="0"/>
      <w:marTop w:val="0"/>
      <w:marBottom w:val="0"/>
      <w:divBdr>
        <w:top w:val="none" w:sz="0" w:space="0" w:color="auto"/>
        <w:left w:val="none" w:sz="0" w:space="0" w:color="auto"/>
        <w:bottom w:val="none" w:sz="0" w:space="0" w:color="auto"/>
        <w:right w:val="none" w:sz="0" w:space="0" w:color="auto"/>
      </w:divBdr>
    </w:div>
    <w:div w:id="1894388933">
      <w:bodyDiv w:val="1"/>
      <w:marLeft w:val="0"/>
      <w:marRight w:val="0"/>
      <w:marTop w:val="0"/>
      <w:marBottom w:val="0"/>
      <w:divBdr>
        <w:top w:val="none" w:sz="0" w:space="0" w:color="auto"/>
        <w:left w:val="none" w:sz="0" w:space="0" w:color="auto"/>
        <w:bottom w:val="none" w:sz="0" w:space="0" w:color="auto"/>
        <w:right w:val="none" w:sz="0" w:space="0" w:color="auto"/>
      </w:divBdr>
    </w:div>
    <w:div w:id="1905526358">
      <w:bodyDiv w:val="1"/>
      <w:marLeft w:val="0"/>
      <w:marRight w:val="0"/>
      <w:marTop w:val="0"/>
      <w:marBottom w:val="0"/>
      <w:divBdr>
        <w:top w:val="none" w:sz="0" w:space="0" w:color="auto"/>
        <w:left w:val="none" w:sz="0" w:space="0" w:color="auto"/>
        <w:bottom w:val="none" w:sz="0" w:space="0" w:color="auto"/>
        <w:right w:val="none" w:sz="0" w:space="0" w:color="auto"/>
      </w:divBdr>
    </w:div>
    <w:div w:id="1917937314">
      <w:bodyDiv w:val="1"/>
      <w:marLeft w:val="0"/>
      <w:marRight w:val="0"/>
      <w:marTop w:val="0"/>
      <w:marBottom w:val="0"/>
      <w:divBdr>
        <w:top w:val="none" w:sz="0" w:space="0" w:color="auto"/>
        <w:left w:val="none" w:sz="0" w:space="0" w:color="auto"/>
        <w:bottom w:val="none" w:sz="0" w:space="0" w:color="auto"/>
        <w:right w:val="none" w:sz="0" w:space="0" w:color="auto"/>
      </w:divBdr>
    </w:div>
    <w:div w:id="1922829329">
      <w:bodyDiv w:val="1"/>
      <w:marLeft w:val="0"/>
      <w:marRight w:val="0"/>
      <w:marTop w:val="0"/>
      <w:marBottom w:val="0"/>
      <w:divBdr>
        <w:top w:val="none" w:sz="0" w:space="0" w:color="auto"/>
        <w:left w:val="none" w:sz="0" w:space="0" w:color="auto"/>
        <w:bottom w:val="none" w:sz="0" w:space="0" w:color="auto"/>
        <w:right w:val="none" w:sz="0" w:space="0" w:color="auto"/>
      </w:divBdr>
    </w:div>
    <w:div w:id="1925145065">
      <w:bodyDiv w:val="1"/>
      <w:marLeft w:val="0"/>
      <w:marRight w:val="0"/>
      <w:marTop w:val="0"/>
      <w:marBottom w:val="0"/>
      <w:divBdr>
        <w:top w:val="none" w:sz="0" w:space="0" w:color="auto"/>
        <w:left w:val="none" w:sz="0" w:space="0" w:color="auto"/>
        <w:bottom w:val="none" w:sz="0" w:space="0" w:color="auto"/>
        <w:right w:val="none" w:sz="0" w:space="0" w:color="auto"/>
      </w:divBdr>
    </w:div>
    <w:div w:id="1935094580">
      <w:bodyDiv w:val="1"/>
      <w:marLeft w:val="0"/>
      <w:marRight w:val="0"/>
      <w:marTop w:val="0"/>
      <w:marBottom w:val="0"/>
      <w:divBdr>
        <w:top w:val="none" w:sz="0" w:space="0" w:color="auto"/>
        <w:left w:val="none" w:sz="0" w:space="0" w:color="auto"/>
        <w:bottom w:val="none" w:sz="0" w:space="0" w:color="auto"/>
        <w:right w:val="none" w:sz="0" w:space="0" w:color="auto"/>
      </w:divBdr>
    </w:div>
    <w:div w:id="1935548945">
      <w:bodyDiv w:val="1"/>
      <w:marLeft w:val="0"/>
      <w:marRight w:val="0"/>
      <w:marTop w:val="0"/>
      <w:marBottom w:val="0"/>
      <w:divBdr>
        <w:top w:val="none" w:sz="0" w:space="0" w:color="auto"/>
        <w:left w:val="none" w:sz="0" w:space="0" w:color="auto"/>
        <w:bottom w:val="none" w:sz="0" w:space="0" w:color="auto"/>
        <w:right w:val="none" w:sz="0" w:space="0" w:color="auto"/>
      </w:divBdr>
    </w:div>
    <w:div w:id="1936210437">
      <w:bodyDiv w:val="1"/>
      <w:marLeft w:val="0"/>
      <w:marRight w:val="0"/>
      <w:marTop w:val="0"/>
      <w:marBottom w:val="0"/>
      <w:divBdr>
        <w:top w:val="none" w:sz="0" w:space="0" w:color="auto"/>
        <w:left w:val="none" w:sz="0" w:space="0" w:color="auto"/>
        <w:bottom w:val="none" w:sz="0" w:space="0" w:color="auto"/>
        <w:right w:val="none" w:sz="0" w:space="0" w:color="auto"/>
      </w:divBdr>
    </w:div>
    <w:div w:id="1942060189">
      <w:bodyDiv w:val="1"/>
      <w:marLeft w:val="0"/>
      <w:marRight w:val="0"/>
      <w:marTop w:val="0"/>
      <w:marBottom w:val="0"/>
      <w:divBdr>
        <w:top w:val="none" w:sz="0" w:space="0" w:color="auto"/>
        <w:left w:val="none" w:sz="0" w:space="0" w:color="auto"/>
        <w:bottom w:val="none" w:sz="0" w:space="0" w:color="auto"/>
        <w:right w:val="none" w:sz="0" w:space="0" w:color="auto"/>
      </w:divBdr>
    </w:div>
    <w:div w:id="1950503992">
      <w:bodyDiv w:val="1"/>
      <w:marLeft w:val="0"/>
      <w:marRight w:val="0"/>
      <w:marTop w:val="0"/>
      <w:marBottom w:val="0"/>
      <w:divBdr>
        <w:top w:val="none" w:sz="0" w:space="0" w:color="auto"/>
        <w:left w:val="none" w:sz="0" w:space="0" w:color="auto"/>
        <w:bottom w:val="none" w:sz="0" w:space="0" w:color="auto"/>
        <w:right w:val="none" w:sz="0" w:space="0" w:color="auto"/>
      </w:divBdr>
    </w:div>
    <w:div w:id="1968244850">
      <w:bodyDiv w:val="1"/>
      <w:marLeft w:val="0"/>
      <w:marRight w:val="0"/>
      <w:marTop w:val="0"/>
      <w:marBottom w:val="0"/>
      <w:divBdr>
        <w:top w:val="none" w:sz="0" w:space="0" w:color="auto"/>
        <w:left w:val="none" w:sz="0" w:space="0" w:color="auto"/>
        <w:bottom w:val="none" w:sz="0" w:space="0" w:color="auto"/>
        <w:right w:val="none" w:sz="0" w:space="0" w:color="auto"/>
      </w:divBdr>
    </w:div>
    <w:div w:id="1982954536">
      <w:bodyDiv w:val="1"/>
      <w:marLeft w:val="0"/>
      <w:marRight w:val="0"/>
      <w:marTop w:val="0"/>
      <w:marBottom w:val="0"/>
      <w:divBdr>
        <w:top w:val="none" w:sz="0" w:space="0" w:color="auto"/>
        <w:left w:val="none" w:sz="0" w:space="0" w:color="auto"/>
        <w:bottom w:val="none" w:sz="0" w:space="0" w:color="auto"/>
        <w:right w:val="none" w:sz="0" w:space="0" w:color="auto"/>
      </w:divBdr>
    </w:div>
    <w:div w:id="1994794033">
      <w:bodyDiv w:val="1"/>
      <w:marLeft w:val="0"/>
      <w:marRight w:val="0"/>
      <w:marTop w:val="0"/>
      <w:marBottom w:val="0"/>
      <w:divBdr>
        <w:top w:val="none" w:sz="0" w:space="0" w:color="auto"/>
        <w:left w:val="none" w:sz="0" w:space="0" w:color="auto"/>
        <w:bottom w:val="none" w:sz="0" w:space="0" w:color="auto"/>
        <w:right w:val="none" w:sz="0" w:space="0" w:color="auto"/>
      </w:divBdr>
    </w:div>
    <w:div w:id="1996369486">
      <w:bodyDiv w:val="1"/>
      <w:marLeft w:val="0"/>
      <w:marRight w:val="0"/>
      <w:marTop w:val="0"/>
      <w:marBottom w:val="0"/>
      <w:divBdr>
        <w:top w:val="none" w:sz="0" w:space="0" w:color="auto"/>
        <w:left w:val="none" w:sz="0" w:space="0" w:color="auto"/>
        <w:bottom w:val="none" w:sz="0" w:space="0" w:color="auto"/>
        <w:right w:val="none" w:sz="0" w:space="0" w:color="auto"/>
      </w:divBdr>
    </w:div>
    <w:div w:id="1996563944">
      <w:bodyDiv w:val="1"/>
      <w:marLeft w:val="0"/>
      <w:marRight w:val="0"/>
      <w:marTop w:val="0"/>
      <w:marBottom w:val="0"/>
      <w:divBdr>
        <w:top w:val="none" w:sz="0" w:space="0" w:color="auto"/>
        <w:left w:val="none" w:sz="0" w:space="0" w:color="auto"/>
        <w:bottom w:val="none" w:sz="0" w:space="0" w:color="auto"/>
        <w:right w:val="none" w:sz="0" w:space="0" w:color="auto"/>
      </w:divBdr>
    </w:div>
    <w:div w:id="2007244215">
      <w:bodyDiv w:val="1"/>
      <w:marLeft w:val="0"/>
      <w:marRight w:val="0"/>
      <w:marTop w:val="0"/>
      <w:marBottom w:val="0"/>
      <w:divBdr>
        <w:top w:val="none" w:sz="0" w:space="0" w:color="auto"/>
        <w:left w:val="none" w:sz="0" w:space="0" w:color="auto"/>
        <w:bottom w:val="none" w:sz="0" w:space="0" w:color="auto"/>
        <w:right w:val="none" w:sz="0" w:space="0" w:color="auto"/>
      </w:divBdr>
    </w:div>
    <w:div w:id="2012684565">
      <w:bodyDiv w:val="1"/>
      <w:marLeft w:val="0"/>
      <w:marRight w:val="0"/>
      <w:marTop w:val="0"/>
      <w:marBottom w:val="0"/>
      <w:divBdr>
        <w:top w:val="none" w:sz="0" w:space="0" w:color="auto"/>
        <w:left w:val="none" w:sz="0" w:space="0" w:color="auto"/>
        <w:bottom w:val="none" w:sz="0" w:space="0" w:color="auto"/>
        <w:right w:val="none" w:sz="0" w:space="0" w:color="auto"/>
      </w:divBdr>
    </w:div>
    <w:div w:id="2027242785">
      <w:bodyDiv w:val="1"/>
      <w:marLeft w:val="0"/>
      <w:marRight w:val="0"/>
      <w:marTop w:val="0"/>
      <w:marBottom w:val="0"/>
      <w:divBdr>
        <w:top w:val="none" w:sz="0" w:space="0" w:color="auto"/>
        <w:left w:val="none" w:sz="0" w:space="0" w:color="auto"/>
        <w:bottom w:val="none" w:sz="0" w:space="0" w:color="auto"/>
        <w:right w:val="none" w:sz="0" w:space="0" w:color="auto"/>
      </w:divBdr>
    </w:div>
    <w:div w:id="2044280207">
      <w:bodyDiv w:val="1"/>
      <w:marLeft w:val="0"/>
      <w:marRight w:val="0"/>
      <w:marTop w:val="0"/>
      <w:marBottom w:val="0"/>
      <w:divBdr>
        <w:top w:val="none" w:sz="0" w:space="0" w:color="auto"/>
        <w:left w:val="none" w:sz="0" w:space="0" w:color="auto"/>
        <w:bottom w:val="none" w:sz="0" w:space="0" w:color="auto"/>
        <w:right w:val="none" w:sz="0" w:space="0" w:color="auto"/>
      </w:divBdr>
    </w:div>
    <w:div w:id="2056659311">
      <w:bodyDiv w:val="1"/>
      <w:marLeft w:val="0"/>
      <w:marRight w:val="0"/>
      <w:marTop w:val="0"/>
      <w:marBottom w:val="0"/>
      <w:divBdr>
        <w:top w:val="none" w:sz="0" w:space="0" w:color="auto"/>
        <w:left w:val="none" w:sz="0" w:space="0" w:color="auto"/>
        <w:bottom w:val="none" w:sz="0" w:space="0" w:color="auto"/>
        <w:right w:val="none" w:sz="0" w:space="0" w:color="auto"/>
      </w:divBdr>
    </w:div>
    <w:div w:id="2058384514">
      <w:bodyDiv w:val="1"/>
      <w:marLeft w:val="0"/>
      <w:marRight w:val="0"/>
      <w:marTop w:val="0"/>
      <w:marBottom w:val="0"/>
      <w:divBdr>
        <w:top w:val="none" w:sz="0" w:space="0" w:color="auto"/>
        <w:left w:val="none" w:sz="0" w:space="0" w:color="auto"/>
        <w:bottom w:val="none" w:sz="0" w:space="0" w:color="auto"/>
        <w:right w:val="none" w:sz="0" w:space="0" w:color="auto"/>
      </w:divBdr>
    </w:div>
    <w:div w:id="2059281587">
      <w:bodyDiv w:val="1"/>
      <w:marLeft w:val="0"/>
      <w:marRight w:val="0"/>
      <w:marTop w:val="0"/>
      <w:marBottom w:val="0"/>
      <w:divBdr>
        <w:top w:val="none" w:sz="0" w:space="0" w:color="auto"/>
        <w:left w:val="none" w:sz="0" w:space="0" w:color="auto"/>
        <w:bottom w:val="none" w:sz="0" w:space="0" w:color="auto"/>
        <w:right w:val="none" w:sz="0" w:space="0" w:color="auto"/>
      </w:divBdr>
    </w:div>
    <w:div w:id="2068138994">
      <w:bodyDiv w:val="1"/>
      <w:marLeft w:val="0"/>
      <w:marRight w:val="0"/>
      <w:marTop w:val="0"/>
      <w:marBottom w:val="0"/>
      <w:divBdr>
        <w:top w:val="none" w:sz="0" w:space="0" w:color="auto"/>
        <w:left w:val="none" w:sz="0" w:space="0" w:color="auto"/>
        <w:bottom w:val="none" w:sz="0" w:space="0" w:color="auto"/>
        <w:right w:val="none" w:sz="0" w:space="0" w:color="auto"/>
      </w:divBdr>
    </w:div>
    <w:div w:id="2070298773">
      <w:bodyDiv w:val="1"/>
      <w:marLeft w:val="0"/>
      <w:marRight w:val="0"/>
      <w:marTop w:val="0"/>
      <w:marBottom w:val="0"/>
      <w:divBdr>
        <w:top w:val="none" w:sz="0" w:space="0" w:color="auto"/>
        <w:left w:val="none" w:sz="0" w:space="0" w:color="auto"/>
        <w:bottom w:val="none" w:sz="0" w:space="0" w:color="auto"/>
        <w:right w:val="none" w:sz="0" w:space="0" w:color="auto"/>
      </w:divBdr>
    </w:div>
    <w:div w:id="2073888203">
      <w:bodyDiv w:val="1"/>
      <w:marLeft w:val="0"/>
      <w:marRight w:val="0"/>
      <w:marTop w:val="0"/>
      <w:marBottom w:val="0"/>
      <w:divBdr>
        <w:top w:val="none" w:sz="0" w:space="0" w:color="auto"/>
        <w:left w:val="none" w:sz="0" w:space="0" w:color="auto"/>
        <w:bottom w:val="none" w:sz="0" w:space="0" w:color="auto"/>
        <w:right w:val="none" w:sz="0" w:space="0" w:color="auto"/>
      </w:divBdr>
    </w:div>
    <w:div w:id="2085181178">
      <w:bodyDiv w:val="1"/>
      <w:marLeft w:val="0"/>
      <w:marRight w:val="0"/>
      <w:marTop w:val="0"/>
      <w:marBottom w:val="0"/>
      <w:divBdr>
        <w:top w:val="none" w:sz="0" w:space="0" w:color="auto"/>
        <w:left w:val="none" w:sz="0" w:space="0" w:color="auto"/>
        <w:bottom w:val="none" w:sz="0" w:space="0" w:color="auto"/>
        <w:right w:val="none" w:sz="0" w:space="0" w:color="auto"/>
      </w:divBdr>
    </w:div>
    <w:div w:id="2095127012">
      <w:bodyDiv w:val="1"/>
      <w:marLeft w:val="0"/>
      <w:marRight w:val="0"/>
      <w:marTop w:val="0"/>
      <w:marBottom w:val="0"/>
      <w:divBdr>
        <w:top w:val="none" w:sz="0" w:space="0" w:color="auto"/>
        <w:left w:val="none" w:sz="0" w:space="0" w:color="auto"/>
        <w:bottom w:val="none" w:sz="0" w:space="0" w:color="auto"/>
        <w:right w:val="none" w:sz="0" w:space="0" w:color="auto"/>
      </w:divBdr>
    </w:div>
    <w:div w:id="2099594983">
      <w:bodyDiv w:val="1"/>
      <w:marLeft w:val="0"/>
      <w:marRight w:val="0"/>
      <w:marTop w:val="0"/>
      <w:marBottom w:val="0"/>
      <w:divBdr>
        <w:top w:val="none" w:sz="0" w:space="0" w:color="auto"/>
        <w:left w:val="none" w:sz="0" w:space="0" w:color="auto"/>
        <w:bottom w:val="none" w:sz="0" w:space="0" w:color="auto"/>
        <w:right w:val="none" w:sz="0" w:space="0" w:color="auto"/>
      </w:divBdr>
    </w:div>
    <w:div w:id="2100909514">
      <w:bodyDiv w:val="1"/>
      <w:marLeft w:val="0"/>
      <w:marRight w:val="0"/>
      <w:marTop w:val="0"/>
      <w:marBottom w:val="0"/>
      <w:divBdr>
        <w:top w:val="none" w:sz="0" w:space="0" w:color="auto"/>
        <w:left w:val="none" w:sz="0" w:space="0" w:color="auto"/>
        <w:bottom w:val="none" w:sz="0" w:space="0" w:color="auto"/>
        <w:right w:val="none" w:sz="0" w:space="0" w:color="auto"/>
      </w:divBdr>
    </w:div>
    <w:div w:id="2105690829">
      <w:bodyDiv w:val="1"/>
      <w:marLeft w:val="0"/>
      <w:marRight w:val="0"/>
      <w:marTop w:val="0"/>
      <w:marBottom w:val="0"/>
      <w:divBdr>
        <w:top w:val="none" w:sz="0" w:space="0" w:color="auto"/>
        <w:left w:val="none" w:sz="0" w:space="0" w:color="auto"/>
        <w:bottom w:val="none" w:sz="0" w:space="0" w:color="auto"/>
        <w:right w:val="none" w:sz="0" w:space="0" w:color="auto"/>
      </w:divBdr>
    </w:div>
    <w:div w:id="2109304957">
      <w:bodyDiv w:val="1"/>
      <w:marLeft w:val="0"/>
      <w:marRight w:val="0"/>
      <w:marTop w:val="0"/>
      <w:marBottom w:val="0"/>
      <w:divBdr>
        <w:top w:val="none" w:sz="0" w:space="0" w:color="auto"/>
        <w:left w:val="none" w:sz="0" w:space="0" w:color="auto"/>
        <w:bottom w:val="none" w:sz="0" w:space="0" w:color="auto"/>
        <w:right w:val="none" w:sz="0" w:space="0" w:color="auto"/>
      </w:divBdr>
    </w:div>
    <w:div w:id="2116440468">
      <w:bodyDiv w:val="1"/>
      <w:marLeft w:val="0"/>
      <w:marRight w:val="0"/>
      <w:marTop w:val="0"/>
      <w:marBottom w:val="0"/>
      <w:divBdr>
        <w:top w:val="none" w:sz="0" w:space="0" w:color="auto"/>
        <w:left w:val="none" w:sz="0" w:space="0" w:color="auto"/>
        <w:bottom w:val="none" w:sz="0" w:space="0" w:color="auto"/>
        <w:right w:val="none" w:sz="0" w:space="0" w:color="auto"/>
      </w:divBdr>
    </w:div>
    <w:div w:id="2126465633">
      <w:bodyDiv w:val="1"/>
      <w:marLeft w:val="0"/>
      <w:marRight w:val="0"/>
      <w:marTop w:val="0"/>
      <w:marBottom w:val="0"/>
      <w:divBdr>
        <w:top w:val="none" w:sz="0" w:space="0" w:color="auto"/>
        <w:left w:val="none" w:sz="0" w:space="0" w:color="auto"/>
        <w:bottom w:val="none" w:sz="0" w:space="0" w:color="auto"/>
        <w:right w:val="none" w:sz="0" w:space="0" w:color="auto"/>
      </w:divBdr>
    </w:div>
    <w:div w:id="2126535894">
      <w:bodyDiv w:val="1"/>
      <w:marLeft w:val="0"/>
      <w:marRight w:val="0"/>
      <w:marTop w:val="0"/>
      <w:marBottom w:val="0"/>
      <w:divBdr>
        <w:top w:val="none" w:sz="0" w:space="0" w:color="auto"/>
        <w:left w:val="none" w:sz="0" w:space="0" w:color="auto"/>
        <w:bottom w:val="none" w:sz="0" w:space="0" w:color="auto"/>
        <w:right w:val="none" w:sz="0" w:space="0" w:color="auto"/>
      </w:divBdr>
    </w:div>
    <w:div w:id="2137211493">
      <w:bodyDiv w:val="1"/>
      <w:marLeft w:val="0"/>
      <w:marRight w:val="0"/>
      <w:marTop w:val="0"/>
      <w:marBottom w:val="0"/>
      <w:divBdr>
        <w:top w:val="none" w:sz="0" w:space="0" w:color="auto"/>
        <w:left w:val="none" w:sz="0" w:space="0" w:color="auto"/>
        <w:bottom w:val="none" w:sz="0" w:space="0" w:color="auto"/>
        <w:right w:val="none" w:sz="0" w:space="0" w:color="auto"/>
      </w:divBdr>
    </w:div>
    <w:div w:id="2138059253">
      <w:bodyDiv w:val="1"/>
      <w:marLeft w:val="0"/>
      <w:marRight w:val="0"/>
      <w:marTop w:val="0"/>
      <w:marBottom w:val="0"/>
      <w:divBdr>
        <w:top w:val="none" w:sz="0" w:space="0" w:color="auto"/>
        <w:left w:val="none" w:sz="0" w:space="0" w:color="auto"/>
        <w:bottom w:val="none" w:sz="0" w:space="0" w:color="auto"/>
        <w:right w:val="none" w:sz="0" w:space="0" w:color="auto"/>
      </w:divBdr>
    </w:div>
    <w:div w:id="2141799222">
      <w:bodyDiv w:val="1"/>
      <w:marLeft w:val="0"/>
      <w:marRight w:val="0"/>
      <w:marTop w:val="0"/>
      <w:marBottom w:val="0"/>
      <w:divBdr>
        <w:top w:val="none" w:sz="0" w:space="0" w:color="auto"/>
        <w:left w:val="none" w:sz="0" w:space="0" w:color="auto"/>
        <w:bottom w:val="none" w:sz="0" w:space="0" w:color="auto"/>
        <w:right w:val="none" w:sz="0" w:space="0" w:color="auto"/>
      </w:divBdr>
    </w:div>
    <w:div w:id="2145925896">
      <w:bodyDiv w:val="1"/>
      <w:marLeft w:val="0"/>
      <w:marRight w:val="0"/>
      <w:marTop w:val="0"/>
      <w:marBottom w:val="0"/>
      <w:divBdr>
        <w:top w:val="none" w:sz="0" w:space="0" w:color="auto"/>
        <w:left w:val="none" w:sz="0" w:space="0" w:color="auto"/>
        <w:bottom w:val="none" w:sz="0" w:space="0" w:color="auto"/>
        <w:right w:val="none" w:sz="0" w:space="0" w:color="auto"/>
      </w:divBdr>
    </w:div>
    <w:div w:id="21467004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128</Pages>
  <Words>19201</Words>
  <Characters>109450</Characters>
  <Application>Microsoft Office Word</Application>
  <DocSecurity>0</DocSecurity>
  <Lines>912</Lines>
  <Paragraphs>256</Paragraphs>
  <ScaleCrop>false</ScaleCrop>
  <Company>MicroSoft</Company>
  <LinksUpToDate>false</LinksUpToDate>
  <CharactersWithSpaces>128395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孙献</cp:lastModifiedBy>
  <cp:revision>30</cp:revision>
  <dcterms:created xsi:type="dcterms:W3CDTF">2024-08-30T02:49:00Z</dcterms:created>
  <dcterms:modified xsi:type="dcterms:W3CDTF">2024-08-30T09:11:00Z</dcterms:modified>
</cp:coreProperties>
</file>