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EDD" w:rsidRDefault="00AB47BA" w:rsidP="00E53EDD">
      <w:pPr>
        <w:spacing w:before="200" w:after="1000" w:line="560" w:lineRule="exact"/>
        <w:jc w:val="center"/>
        <w:rPr>
          <w:rFonts w:ascii="黑体" w:eastAsia="黑体" w:hAnsi="黑体" w:cs="宋体"/>
          <w:sz w:val="20"/>
          <w:szCs w:val="18"/>
        </w:rPr>
      </w:pPr>
      <w:r w:rsidRPr="00E53EDD">
        <w:rPr>
          <w:rFonts w:ascii="黑体" w:eastAsia="黑体" w:hAnsi="黑体" w:cs="宋体"/>
          <w:sz w:val="20"/>
          <w:szCs w:val="18"/>
        </w:rPr>
        <w:t xml:space="preserve">证券代码：002042              </w:t>
      </w:r>
      <w:r w:rsidR="00E53EDD">
        <w:rPr>
          <w:rFonts w:ascii="黑体" w:eastAsia="黑体" w:hAnsi="黑体" w:cs="宋体" w:hint="eastAsia"/>
          <w:sz w:val="20"/>
          <w:szCs w:val="18"/>
        </w:rPr>
        <w:t xml:space="preserve"> </w:t>
      </w:r>
      <w:r w:rsidRPr="00E53EDD">
        <w:rPr>
          <w:rFonts w:ascii="黑体" w:eastAsia="黑体" w:hAnsi="黑体" w:cs="宋体"/>
          <w:sz w:val="20"/>
          <w:szCs w:val="18"/>
        </w:rPr>
        <w:t xml:space="preserve"> </w:t>
      </w:r>
      <w:r w:rsidR="00E53EDD">
        <w:rPr>
          <w:rFonts w:ascii="黑体" w:eastAsia="黑体" w:hAnsi="黑体" w:cs="宋体" w:hint="eastAsia"/>
          <w:sz w:val="20"/>
          <w:szCs w:val="18"/>
        </w:rPr>
        <w:t xml:space="preserve"> </w:t>
      </w:r>
      <w:r w:rsidRPr="00E53EDD">
        <w:rPr>
          <w:rFonts w:ascii="黑体" w:eastAsia="黑体" w:hAnsi="黑体" w:cs="宋体"/>
          <w:sz w:val="20"/>
          <w:szCs w:val="18"/>
        </w:rPr>
        <w:t xml:space="preserve"> </w:t>
      </w:r>
      <w:r w:rsidR="00E53EDD" w:rsidRPr="00E53EDD">
        <w:rPr>
          <w:rFonts w:ascii="黑体" w:eastAsia="黑体" w:hAnsi="黑体" w:cs="宋体" w:hint="eastAsia"/>
          <w:sz w:val="20"/>
          <w:szCs w:val="18"/>
        </w:rPr>
        <w:t xml:space="preserve"> </w:t>
      </w:r>
      <w:r w:rsidRPr="00E53EDD">
        <w:rPr>
          <w:rFonts w:ascii="黑体" w:eastAsia="黑体" w:hAnsi="黑体" w:cs="宋体"/>
          <w:sz w:val="20"/>
          <w:szCs w:val="18"/>
        </w:rPr>
        <w:t xml:space="preserve">证券简称：华孚时尚            </w:t>
      </w:r>
      <w:r w:rsidR="003609C3" w:rsidRPr="00E53EDD">
        <w:rPr>
          <w:rFonts w:ascii="黑体" w:eastAsia="黑体" w:hAnsi="黑体" w:cs="宋体" w:hint="eastAsia"/>
          <w:sz w:val="20"/>
          <w:szCs w:val="18"/>
        </w:rPr>
        <w:t xml:space="preserve">  </w:t>
      </w:r>
      <w:r w:rsidR="00E53EDD">
        <w:rPr>
          <w:rFonts w:ascii="黑体" w:eastAsia="黑体" w:hAnsi="黑体" w:cs="宋体" w:hint="eastAsia"/>
          <w:sz w:val="20"/>
          <w:szCs w:val="18"/>
        </w:rPr>
        <w:t xml:space="preserve"> </w:t>
      </w:r>
      <w:r w:rsidR="003609C3" w:rsidRPr="00E53EDD">
        <w:rPr>
          <w:rFonts w:ascii="黑体" w:eastAsia="黑体" w:hAnsi="黑体" w:cs="宋体" w:hint="eastAsia"/>
          <w:sz w:val="20"/>
          <w:szCs w:val="18"/>
        </w:rPr>
        <w:t xml:space="preserve">  </w:t>
      </w:r>
      <w:r w:rsidR="00E53EDD">
        <w:rPr>
          <w:rFonts w:ascii="黑体" w:eastAsia="黑体" w:hAnsi="黑体" w:cs="宋体" w:hint="eastAsia"/>
          <w:sz w:val="20"/>
          <w:szCs w:val="18"/>
        </w:rPr>
        <w:t xml:space="preserve"> </w:t>
      </w:r>
      <w:r w:rsidR="003609C3" w:rsidRPr="00E53EDD">
        <w:rPr>
          <w:rFonts w:ascii="黑体" w:eastAsia="黑体" w:hAnsi="黑体" w:cs="宋体" w:hint="eastAsia"/>
          <w:sz w:val="20"/>
          <w:szCs w:val="18"/>
        </w:rPr>
        <w:t xml:space="preserve">  </w:t>
      </w:r>
      <w:r w:rsidRPr="00E53EDD">
        <w:rPr>
          <w:rFonts w:ascii="黑体" w:eastAsia="黑体" w:hAnsi="黑体" w:cs="宋体"/>
          <w:sz w:val="20"/>
          <w:szCs w:val="18"/>
        </w:rPr>
        <w:t>公告编号：</w:t>
      </w:r>
      <w:r w:rsidR="00E53EDD" w:rsidRPr="00E53EDD">
        <w:rPr>
          <w:rFonts w:ascii="黑体" w:eastAsia="黑体" w:hAnsi="黑体" w:cs="宋体" w:hint="eastAsia"/>
          <w:sz w:val="20"/>
          <w:szCs w:val="18"/>
        </w:rPr>
        <w:t>2024-52</w:t>
      </w:r>
    </w:p>
    <w:p w:rsidR="007C566A" w:rsidRPr="00AB47BA" w:rsidRDefault="00AB47BA" w:rsidP="00E53EDD">
      <w:pPr>
        <w:spacing w:before="200" w:after="360" w:line="560" w:lineRule="exact"/>
        <w:jc w:val="center"/>
        <w:rPr>
          <w:rFonts w:ascii="宋体" w:eastAsia="宋体" w:hAnsi="宋体" w:cs="宋体"/>
          <w:b/>
          <w:bCs/>
          <w:sz w:val="36"/>
          <w:szCs w:val="36"/>
        </w:rPr>
      </w:pPr>
      <w:r w:rsidRPr="00AB47BA">
        <w:rPr>
          <w:rFonts w:ascii="宋体" w:eastAsia="宋体" w:hAnsi="宋体" w:cs="宋体"/>
          <w:b/>
          <w:bCs/>
          <w:sz w:val="36"/>
          <w:szCs w:val="36"/>
        </w:rPr>
        <w:t>华孚时尚股份有限公司</w:t>
      </w:r>
    </w:p>
    <w:p w:rsidR="007C566A" w:rsidRPr="00AB47BA" w:rsidRDefault="00AB47BA" w:rsidP="00E53EDD">
      <w:pPr>
        <w:spacing w:before="200" w:after="600" w:line="400" w:lineRule="exact"/>
        <w:jc w:val="center"/>
        <w:rPr>
          <w:rFonts w:ascii="宋体" w:eastAsia="宋体" w:hAnsi="宋体" w:cs="宋体"/>
          <w:b/>
          <w:bCs/>
          <w:sz w:val="36"/>
          <w:szCs w:val="36"/>
        </w:rPr>
      </w:pPr>
      <w:r w:rsidRPr="00AB47BA">
        <w:rPr>
          <w:rFonts w:ascii="宋体" w:eastAsia="宋体" w:hAnsi="宋体" w:cs="宋体"/>
          <w:b/>
          <w:bCs/>
          <w:sz w:val="36"/>
          <w:szCs w:val="36"/>
        </w:rPr>
        <w:t>2024年第三季度报告</w:t>
      </w:r>
    </w:p>
    <w:p w:rsidR="007C566A" w:rsidRDefault="00AB47BA">
      <w:pPr>
        <w:pBdr>
          <w:top w:val="single" w:sz="4" w:space="1" w:color="auto"/>
          <w:left w:val="single" w:sz="4" w:space="4" w:color="auto"/>
          <w:bottom w:val="single" w:sz="4" w:space="1" w:color="auto"/>
          <w:right w:val="single" w:sz="4" w:space="4" w:color="auto"/>
          <w:bar w:val="single" w:sz="4" w:color="auto"/>
        </w:pBdr>
        <w:spacing w:before="100" w:after="100" w:line="400" w:lineRule="exact"/>
        <w:ind w:firstLineChars="200" w:firstLine="360"/>
        <w:rPr>
          <w:rFonts w:ascii="宋体" w:eastAsia="宋体" w:hAnsi="宋体" w:cs="宋体"/>
          <w:sz w:val="18"/>
          <w:szCs w:val="18"/>
        </w:rPr>
      </w:pPr>
      <w:r>
        <w:rPr>
          <w:rFonts w:ascii="宋体" w:eastAsia="宋体" w:hAnsi="宋体" w:cs="宋体"/>
          <w:sz w:val="18"/>
          <w:szCs w:val="18"/>
        </w:rPr>
        <w:t>本公司及董事会全体成员保证信息披露的内容真实、准确、完整，没有虚假记载、误导性陈述或重大遗漏。</w:t>
      </w:r>
    </w:p>
    <w:p w:rsidR="007C566A" w:rsidRDefault="00AB47BA">
      <w:pPr>
        <w:spacing w:before="40" w:after="40" w:line="420" w:lineRule="exact"/>
        <w:rPr>
          <w:rFonts w:ascii="宋体" w:eastAsia="宋体" w:hAnsi="宋体" w:cs="宋体"/>
          <w:b/>
          <w:bCs/>
          <w:sz w:val="24"/>
          <w:szCs w:val="24"/>
        </w:rPr>
      </w:pPr>
      <w:r>
        <w:rPr>
          <w:rFonts w:ascii="宋体" w:eastAsia="宋体" w:hAnsi="宋体" w:cs="宋体"/>
          <w:b/>
          <w:bCs/>
          <w:sz w:val="24"/>
          <w:szCs w:val="24"/>
        </w:rPr>
        <w:t>重要内容提示：</w:t>
      </w:r>
    </w:p>
    <w:p w:rsidR="007C566A" w:rsidRDefault="00AB47BA">
      <w:pPr>
        <w:spacing w:before="100" w:after="100" w:line="400" w:lineRule="exact"/>
        <w:rPr>
          <w:rFonts w:ascii="宋体" w:eastAsia="宋体" w:hAnsi="宋体" w:cs="宋体"/>
          <w:sz w:val="18"/>
          <w:szCs w:val="18"/>
        </w:rPr>
      </w:pPr>
      <w:r>
        <w:rPr>
          <w:rFonts w:ascii="宋体" w:eastAsia="宋体" w:hAnsi="宋体" w:cs="宋体"/>
          <w:sz w:val="18"/>
          <w:szCs w:val="18"/>
        </w:rPr>
        <w:t>1.董事会、监事会及董事、监事、高级管理人员保证季度报告的真实、准确、完整，不存在虚假记载、误导性陈述或重大遗漏，并承担个别和连带的法律责任。</w:t>
      </w:r>
    </w:p>
    <w:p w:rsidR="007C566A" w:rsidRDefault="00AB47BA">
      <w:pPr>
        <w:spacing w:before="100" w:after="100" w:line="400" w:lineRule="exact"/>
        <w:rPr>
          <w:rFonts w:ascii="宋体" w:eastAsia="宋体" w:hAnsi="宋体" w:cs="宋体"/>
          <w:sz w:val="18"/>
          <w:szCs w:val="18"/>
        </w:rPr>
      </w:pPr>
      <w:r>
        <w:rPr>
          <w:rFonts w:ascii="宋体" w:eastAsia="宋体" w:hAnsi="宋体" w:cs="宋体"/>
          <w:sz w:val="18"/>
          <w:szCs w:val="18"/>
        </w:rPr>
        <w:t>2.公司负责人、主管会计工作负责人及会计机构负责人(会计主管人员)声明：保证季度报告中财务信息的真实、准确、完整。</w:t>
      </w:r>
    </w:p>
    <w:p w:rsidR="007C566A" w:rsidRDefault="00AB47BA">
      <w:pPr>
        <w:spacing w:before="100" w:after="100" w:line="400" w:lineRule="exact"/>
        <w:rPr>
          <w:rFonts w:ascii="宋体" w:eastAsia="宋体" w:hAnsi="宋体" w:cs="宋体"/>
          <w:sz w:val="18"/>
          <w:szCs w:val="18"/>
        </w:rPr>
      </w:pPr>
      <w:r>
        <w:rPr>
          <w:rFonts w:ascii="宋体" w:eastAsia="宋体" w:hAnsi="宋体" w:cs="宋体"/>
          <w:sz w:val="18"/>
          <w:szCs w:val="18"/>
        </w:rPr>
        <w:t>3.第三季度报告是否经过审计</w:t>
      </w:r>
    </w:p>
    <w:p w:rsidR="007C566A" w:rsidRDefault="00AB47BA">
      <w:pPr>
        <w:spacing w:before="100" w:after="100" w:line="40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7C566A" w:rsidRDefault="00AB47BA">
      <w:r>
        <w:br w:type="page"/>
      </w:r>
    </w:p>
    <w:p w:rsidR="007C566A" w:rsidRDefault="00AB47BA">
      <w:pPr>
        <w:pStyle w:val="headingh1"/>
        <w:spacing w:before="300" w:after="300" w:line="320" w:lineRule="exact"/>
        <w:rPr>
          <w:rFonts w:ascii="宋体" w:eastAsia="宋体" w:hAnsi="宋体" w:cs="宋体"/>
          <w:b/>
          <w:bCs/>
          <w:sz w:val="24"/>
          <w:szCs w:val="24"/>
        </w:rPr>
      </w:pPr>
      <w:bookmarkStart w:id="0" w:name="_Toc988889"/>
      <w:r>
        <w:rPr>
          <w:rFonts w:ascii="宋体" w:eastAsia="宋体" w:hAnsi="宋体" w:cs="宋体"/>
          <w:b/>
          <w:bCs/>
          <w:sz w:val="24"/>
          <w:szCs w:val="24"/>
        </w:rPr>
        <w:lastRenderedPageBreak/>
        <w:t>一、主要财务数据</w:t>
      </w:r>
      <w:bookmarkEnd w:id="0"/>
    </w:p>
    <w:p w:rsidR="007C566A" w:rsidRDefault="00AB47BA">
      <w:pPr>
        <w:pStyle w:val="2"/>
        <w:spacing w:before="300" w:after="300" w:line="280" w:lineRule="exact"/>
        <w:rPr>
          <w:rFonts w:ascii="宋体" w:eastAsia="宋体" w:hAnsi="宋体" w:cs="宋体"/>
          <w:b/>
          <w:bCs/>
        </w:rPr>
      </w:pPr>
      <w:bookmarkStart w:id="1" w:name="_Toc988890"/>
      <w:r>
        <w:rPr>
          <w:rFonts w:ascii="宋体" w:eastAsia="宋体" w:hAnsi="宋体" w:cs="宋体"/>
          <w:b/>
          <w:bCs/>
        </w:rPr>
        <w:t>（一） 主要会计数据和财务指标</w:t>
      </w:r>
      <w:bookmarkEnd w:id="1"/>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年初</w:t>
            </w:r>
            <w:proofErr w:type="gramStart"/>
            <w:r>
              <w:rPr>
                <w:rFonts w:ascii="宋体" w:eastAsia="宋体" w:hAnsi="宋体" w:cs="宋体"/>
                <w:sz w:val="18"/>
                <w:szCs w:val="18"/>
              </w:rPr>
              <w:t>至报告</w:t>
            </w:r>
            <w:proofErr w:type="gramEnd"/>
            <w:r>
              <w:rPr>
                <w:rFonts w:ascii="宋体" w:eastAsia="宋体" w:hAnsi="宋体" w:cs="宋体"/>
                <w:sz w:val="18"/>
                <w:szCs w:val="18"/>
              </w:rPr>
              <w:t>期末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年初</w:t>
            </w:r>
            <w:proofErr w:type="gramStart"/>
            <w:r>
              <w:rPr>
                <w:rFonts w:ascii="宋体" w:eastAsia="宋体" w:hAnsi="宋体" w:cs="宋体"/>
                <w:sz w:val="18"/>
                <w:szCs w:val="18"/>
              </w:rPr>
              <w:t>至报告</w:t>
            </w:r>
            <w:proofErr w:type="gramEnd"/>
            <w:r>
              <w:rPr>
                <w:rFonts w:ascii="宋体" w:eastAsia="宋体" w:hAnsi="宋体" w:cs="宋体"/>
                <w:sz w:val="18"/>
                <w:szCs w:val="18"/>
              </w:rPr>
              <w:t>期末比上年同期增减</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营业收入（元）</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2,804,130,610.67</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-15.02%</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9,327,003,257.67</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-15.61%</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2,972,206.81</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-15.92%</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47,776,827.98</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-43.75%</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-51,770,899.69</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-21.30%</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-60,756,642.35</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-376.34%</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1,266,154,569.87</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-25.98%</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基本每股收益（元/股）</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-33.33%</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稀释每股收益（元/股）</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-33.33%</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0.99%</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-0.37%</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总资产（元）</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17,383,706,093.42</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3856"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2.01%</w:t>
            </w:r>
          </w:p>
        </w:tc>
      </w:tr>
      <w:tr w:rsidR="007C566A">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归属于上市公司股东的所有者权益（元）</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6,047,806,916.59</w:t>
            </w:r>
          </w:p>
        </w:tc>
        <w:tc>
          <w:tcPr>
            <w:tcW w:w="192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3856"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-1.77%</w:t>
            </w:r>
          </w:p>
        </w:tc>
      </w:tr>
    </w:tbl>
    <w:p w:rsidR="007C566A" w:rsidRDefault="007C566A">
      <w:pPr>
        <w:spacing w:before="100" w:after="100" w:line="0" w:lineRule="atLeast"/>
      </w:pPr>
    </w:p>
    <w:p w:rsidR="007C566A" w:rsidRDefault="00AB47BA">
      <w:pPr>
        <w:pStyle w:val="2"/>
        <w:spacing w:before="300" w:after="300" w:line="280" w:lineRule="exact"/>
        <w:rPr>
          <w:rFonts w:ascii="宋体" w:eastAsia="宋体" w:hAnsi="宋体" w:cs="宋体"/>
          <w:b/>
          <w:bCs/>
        </w:rPr>
      </w:pPr>
      <w:bookmarkStart w:id="2" w:name="_Toc988891"/>
      <w:r>
        <w:rPr>
          <w:rFonts w:ascii="宋体" w:eastAsia="宋体" w:hAnsi="宋体" w:cs="宋体"/>
          <w:b/>
          <w:bCs/>
        </w:rPr>
        <w:t>（二） 非经常性损益项目和金额</w:t>
      </w:r>
      <w:bookmarkEnd w:id="2"/>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5353"/>
        <w:gridCol w:w="1418"/>
        <w:gridCol w:w="2126"/>
        <w:gridCol w:w="742"/>
      </w:tblGrid>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期金额</w:t>
            </w:r>
            <w:proofErr w:type="gramEnd"/>
          </w:p>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年初</w:t>
            </w:r>
            <w:proofErr w:type="gramStart"/>
            <w:r>
              <w:rPr>
                <w:rFonts w:ascii="宋体" w:eastAsia="宋体" w:hAnsi="宋体" w:cs="宋体"/>
                <w:sz w:val="18"/>
                <w:szCs w:val="18"/>
              </w:rPr>
              <w:t>至报告</w:t>
            </w:r>
            <w:proofErr w:type="gramEnd"/>
            <w:r>
              <w:rPr>
                <w:rFonts w:ascii="宋体" w:eastAsia="宋体" w:hAnsi="宋体" w:cs="宋体"/>
                <w:sz w:val="18"/>
                <w:szCs w:val="18"/>
              </w:rPr>
              <w:t>期期末金额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非流动性资产处置损益（包括已计提资产减值准备的冲销部分）</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27,862,880.75</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30,146,285.24</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30,687,165.74</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68,921,515.27</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3,742,555.02</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29,962,618.44</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967,741.66</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4,827,858.06</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3,712,148.31</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2,619,207.66</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11,613,277.04</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25,573,848.13</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616,107.94</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2,370,166.21</w:t>
            </w:r>
          </w:p>
        </w:tc>
        <w:tc>
          <w:tcPr>
            <w:tcW w:w="742"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rPr>
                <w:rFonts w:ascii="宋体" w:eastAsia="宋体" w:hAnsi="宋体" w:cs="宋体"/>
                <w:sz w:val="18"/>
                <w:szCs w:val="18"/>
              </w:rPr>
            </w:pPr>
          </w:p>
        </w:tc>
      </w:tr>
      <w:tr w:rsidR="007C566A" w:rsidTr="00AB47BA">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18"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54,743,106.50</w:t>
            </w:r>
          </w:p>
        </w:tc>
        <w:tc>
          <w:tcPr>
            <w:tcW w:w="2126"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108,533,470.33</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7C566A" w:rsidRDefault="00AB47BA">
      <w:pPr>
        <w:spacing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rsidR="007C566A" w:rsidRDefault="00AB47BA">
      <w:pPr>
        <w:pStyle w:val="2"/>
        <w:spacing w:before="300" w:after="300" w:line="280" w:lineRule="exact"/>
        <w:rPr>
          <w:rFonts w:ascii="宋体" w:eastAsia="宋体" w:hAnsi="宋体" w:cs="宋体"/>
          <w:b/>
          <w:bCs/>
        </w:rPr>
      </w:pPr>
      <w:bookmarkStart w:id="3" w:name="_Toc988892"/>
      <w:r>
        <w:rPr>
          <w:rFonts w:ascii="宋体" w:eastAsia="宋体" w:hAnsi="宋体" w:cs="宋体"/>
          <w:b/>
          <w:bCs/>
        </w:rPr>
        <w:t>（三） 主要会计数据和财务指标发生变动的情况及原因</w:t>
      </w:r>
      <w:bookmarkEnd w:id="3"/>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AB47BA" w:rsidRDefault="00AB47BA">
      <w:pPr>
        <w:pStyle w:val="a3"/>
        <w:divId w:val="1773356573"/>
        <w:rPr>
          <w:sz w:val="18"/>
          <w:szCs w:val="18"/>
        </w:rPr>
      </w:pPr>
      <w:r>
        <w:rPr>
          <w:rFonts w:hint="eastAsia"/>
          <w:sz w:val="18"/>
          <w:szCs w:val="18"/>
        </w:rPr>
        <w:t>1、资产负债表项目变动原因说明</w:t>
      </w:r>
    </w:p>
    <w:tbl>
      <w:tblPr>
        <w:tblW w:w="10070" w:type="dxa"/>
        <w:jc w:val="center"/>
        <w:tblCellMar>
          <w:left w:w="0" w:type="dxa"/>
          <w:right w:w="0" w:type="dxa"/>
        </w:tblCellMar>
        <w:tblLook w:val="04A0" w:firstRow="1" w:lastRow="0" w:firstColumn="1" w:lastColumn="0" w:noHBand="0" w:noVBand="1"/>
      </w:tblPr>
      <w:tblGrid>
        <w:gridCol w:w="1565"/>
        <w:gridCol w:w="1842"/>
        <w:gridCol w:w="1843"/>
        <w:gridCol w:w="1134"/>
        <w:gridCol w:w="3686"/>
      </w:tblGrid>
      <w:tr w:rsidR="00AB47BA" w:rsidTr="00AB47BA">
        <w:trPr>
          <w:divId w:val="1773356573"/>
          <w:trHeight w:val="285"/>
          <w:jc w:val="center"/>
        </w:trPr>
        <w:tc>
          <w:tcPr>
            <w:tcW w:w="1565" w:type="dxa"/>
            <w:tcBorders>
              <w:top w:val="single" w:sz="4" w:space="0" w:color="auto"/>
              <w:left w:val="single" w:sz="4" w:space="0" w:color="auto"/>
              <w:bottom w:val="single" w:sz="4" w:space="0" w:color="auto"/>
              <w:right w:val="single" w:sz="4" w:space="0" w:color="auto"/>
            </w:tcBorders>
            <w:noWrap/>
            <w:vAlign w:val="center"/>
            <w:hideMark/>
          </w:tcPr>
          <w:p w:rsidR="00AB47BA" w:rsidRPr="00AB47BA" w:rsidRDefault="00AB47BA" w:rsidP="00AB47BA">
            <w:pPr>
              <w:jc w:val="center"/>
              <w:rPr>
                <w:rFonts w:asciiTheme="minorEastAsia" w:hAnsiTheme="minorEastAsia" w:cs="宋体"/>
                <w:b/>
                <w:color w:val="000000"/>
                <w:sz w:val="20"/>
                <w:szCs w:val="20"/>
              </w:rPr>
            </w:pPr>
            <w:r w:rsidRPr="00AB47BA">
              <w:rPr>
                <w:rFonts w:asciiTheme="minorEastAsia" w:hAnsiTheme="minorEastAsia" w:hint="eastAsia"/>
                <w:b/>
                <w:color w:val="000000"/>
                <w:sz w:val="20"/>
                <w:szCs w:val="20"/>
              </w:rPr>
              <w:t>项目</w:t>
            </w:r>
          </w:p>
        </w:tc>
        <w:tc>
          <w:tcPr>
            <w:tcW w:w="1842"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Theme="minorEastAsia" w:hAnsiTheme="minorEastAsia" w:cs="宋体"/>
                <w:b/>
                <w:color w:val="000000"/>
                <w:sz w:val="20"/>
                <w:szCs w:val="20"/>
              </w:rPr>
            </w:pPr>
            <w:r w:rsidRPr="00AB47BA">
              <w:rPr>
                <w:rFonts w:asciiTheme="minorEastAsia" w:hAnsiTheme="minorEastAsia" w:hint="eastAsia"/>
                <w:b/>
                <w:color w:val="000000"/>
                <w:sz w:val="20"/>
                <w:szCs w:val="20"/>
              </w:rPr>
              <w:t>期末数</w:t>
            </w:r>
            <w:r w:rsidR="00AF5471">
              <w:rPr>
                <w:rFonts w:asciiTheme="minorEastAsia" w:hAnsiTheme="minorEastAsia" w:hint="eastAsia"/>
                <w:b/>
                <w:color w:val="000000"/>
                <w:sz w:val="20"/>
                <w:szCs w:val="20"/>
              </w:rPr>
              <w:t>（元）</w:t>
            </w:r>
          </w:p>
        </w:tc>
        <w:tc>
          <w:tcPr>
            <w:tcW w:w="1843"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Theme="minorEastAsia" w:hAnsiTheme="minorEastAsia" w:cs="宋体"/>
                <w:b/>
                <w:color w:val="000000"/>
                <w:sz w:val="20"/>
                <w:szCs w:val="20"/>
              </w:rPr>
            </w:pPr>
            <w:r w:rsidRPr="00AB47BA">
              <w:rPr>
                <w:rFonts w:asciiTheme="minorEastAsia" w:hAnsiTheme="minorEastAsia" w:hint="eastAsia"/>
                <w:b/>
                <w:color w:val="000000"/>
                <w:sz w:val="20"/>
                <w:szCs w:val="20"/>
              </w:rPr>
              <w:t>期初数</w:t>
            </w:r>
            <w:r w:rsidR="00AF5471">
              <w:rPr>
                <w:rFonts w:asciiTheme="minorEastAsia" w:hAnsiTheme="minorEastAsia" w:hint="eastAsia"/>
                <w:b/>
                <w:color w:val="000000"/>
                <w:sz w:val="20"/>
                <w:szCs w:val="20"/>
              </w:rPr>
              <w:t>（元）</w:t>
            </w:r>
          </w:p>
        </w:tc>
        <w:tc>
          <w:tcPr>
            <w:tcW w:w="1134"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Theme="minorEastAsia" w:hAnsiTheme="minorEastAsia" w:cs="宋体"/>
                <w:b/>
                <w:color w:val="000000"/>
                <w:sz w:val="20"/>
                <w:szCs w:val="20"/>
              </w:rPr>
            </w:pPr>
            <w:r w:rsidRPr="00AB47BA">
              <w:rPr>
                <w:rFonts w:asciiTheme="minorEastAsia" w:hAnsiTheme="minorEastAsia" w:hint="eastAsia"/>
                <w:b/>
                <w:color w:val="000000"/>
                <w:sz w:val="20"/>
                <w:szCs w:val="20"/>
              </w:rPr>
              <w:t>变动比率</w:t>
            </w:r>
          </w:p>
        </w:tc>
        <w:tc>
          <w:tcPr>
            <w:tcW w:w="3686"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Theme="minorEastAsia" w:hAnsiTheme="minorEastAsia" w:cs="宋体"/>
                <w:b/>
                <w:color w:val="000000"/>
                <w:sz w:val="20"/>
                <w:szCs w:val="20"/>
              </w:rPr>
            </w:pPr>
            <w:r w:rsidRPr="00AB47BA">
              <w:rPr>
                <w:rFonts w:asciiTheme="minorEastAsia" w:hAnsiTheme="minorEastAsia" w:hint="eastAsia"/>
                <w:b/>
                <w:color w:val="000000"/>
                <w:sz w:val="20"/>
                <w:szCs w:val="20"/>
              </w:rPr>
              <w:t>变动原因</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货币资金</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3,691,121,331.43</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2,636,623,050.27</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39.99%</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主要系回款增加所致；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交易性金融资产</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324,816,710.74</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231,633,768.94</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40.23%</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主要系理财产品增加所致；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应收票据</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111,676,576.27</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ind w:leftChars="-548" w:left="-1151"/>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57,901,832.23</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92.87%</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主要系票据结算业务增加所致；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预付款项</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1,262,900,914.05</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613,362,244.00</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105.90%</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主要系预付原料款增加所致；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其他流动资产</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192,715,296.45</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125,091,080.55</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54.06%</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主要系增值税留抵扣额增加所致；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在建工程</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775,123,259.38</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475,059,478.07</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63.16%</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主要系上虞时尚总部物业、淮北30万</w:t>
            </w:r>
            <w:proofErr w:type="gramStart"/>
            <w:r w:rsidRPr="00AB47BA">
              <w:rPr>
                <w:rFonts w:asciiTheme="minorEastAsia" w:hAnsiTheme="minorEastAsia" w:hint="eastAsia"/>
                <w:color w:val="000000"/>
                <w:sz w:val="20"/>
                <w:szCs w:val="20"/>
              </w:rPr>
              <w:t>锭项目</w:t>
            </w:r>
            <w:proofErr w:type="gramEnd"/>
            <w:r w:rsidRPr="00AB47BA">
              <w:rPr>
                <w:rFonts w:asciiTheme="minorEastAsia" w:hAnsiTheme="minorEastAsia" w:hint="eastAsia"/>
                <w:color w:val="000000"/>
                <w:sz w:val="20"/>
                <w:szCs w:val="20"/>
              </w:rPr>
              <w:t>投入增加所致；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其他非流动资产</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15,766,065.00</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213,610,511.50</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-92.62%</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主要系预付长期资产款转在建工程所致；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应付票据</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110,241,217.40</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32,923,985.70</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234.84%</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主要系票据结算业务增加所致；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合同负债</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446,463,218.64</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715,430,170.40</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-37.60%</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w:t>
            </w:r>
            <w:proofErr w:type="gramStart"/>
            <w:r w:rsidRPr="00AB47BA">
              <w:rPr>
                <w:rFonts w:asciiTheme="minorEastAsia" w:hAnsiTheme="minorEastAsia" w:hint="eastAsia"/>
                <w:color w:val="000000"/>
                <w:sz w:val="20"/>
                <w:szCs w:val="20"/>
              </w:rPr>
              <w:t>系业务</w:t>
            </w:r>
            <w:proofErr w:type="gramEnd"/>
            <w:r w:rsidRPr="00AB47BA">
              <w:rPr>
                <w:rFonts w:asciiTheme="minorEastAsia" w:hAnsiTheme="minorEastAsia" w:hint="eastAsia"/>
                <w:color w:val="000000"/>
                <w:sz w:val="20"/>
                <w:szCs w:val="20"/>
              </w:rPr>
              <w:t>周期不同所致；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应交税费</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44,458,157.00</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82,862,010.47</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-46.35%</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主要系应付所得税和增值税减少所致；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库存股</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300,104,207.84</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200,071,093.36</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50.00%</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w:t>
            </w:r>
            <w:proofErr w:type="gramStart"/>
            <w:r w:rsidRPr="00AB47BA">
              <w:rPr>
                <w:rFonts w:asciiTheme="minorEastAsia" w:hAnsiTheme="minorEastAsia" w:hint="eastAsia"/>
                <w:color w:val="000000"/>
                <w:sz w:val="20"/>
                <w:szCs w:val="20"/>
              </w:rPr>
              <w:t>本期回</w:t>
            </w:r>
            <w:proofErr w:type="gramEnd"/>
            <w:r w:rsidRPr="00AB47BA">
              <w:rPr>
                <w:rFonts w:asciiTheme="minorEastAsia" w:hAnsiTheme="minorEastAsia" w:hint="eastAsia"/>
                <w:color w:val="000000"/>
                <w:sz w:val="20"/>
                <w:szCs w:val="20"/>
              </w:rPr>
              <w:t>购股票增加所致；</w:t>
            </w:r>
          </w:p>
        </w:tc>
      </w:tr>
      <w:tr w:rsidR="00AB47BA" w:rsidTr="00AB47BA">
        <w:trPr>
          <w:divId w:val="1773356573"/>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其他综合收益</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-152,655,842.81</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-96,153,506.00</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-58.76%</w:t>
            </w:r>
          </w:p>
        </w:tc>
        <w:tc>
          <w:tcPr>
            <w:tcW w:w="3686" w:type="dxa"/>
            <w:tcBorders>
              <w:top w:val="nil"/>
              <w:left w:val="nil"/>
              <w:bottom w:val="single" w:sz="8" w:space="0" w:color="auto"/>
              <w:right w:val="single" w:sz="8" w:space="0" w:color="auto"/>
            </w:tcBorders>
            <w:noWrap/>
            <w:vAlign w:val="center"/>
            <w:hideMark/>
          </w:tcPr>
          <w:p w:rsidR="00AB47BA" w:rsidRPr="00AB47BA" w:rsidRDefault="00AB47BA">
            <w:pPr>
              <w:rPr>
                <w:rFonts w:asciiTheme="minorEastAsia" w:hAnsiTheme="minorEastAsia" w:cs="宋体"/>
                <w:color w:val="000000"/>
                <w:sz w:val="20"/>
                <w:szCs w:val="20"/>
              </w:rPr>
            </w:pPr>
            <w:r w:rsidRPr="00AB47BA">
              <w:rPr>
                <w:rFonts w:asciiTheme="minorEastAsia" w:hAnsiTheme="minorEastAsia" w:hint="eastAsia"/>
                <w:color w:val="000000"/>
                <w:sz w:val="20"/>
                <w:szCs w:val="20"/>
              </w:rPr>
              <w:t>主要系外币报表折算所致；</w:t>
            </w:r>
          </w:p>
        </w:tc>
      </w:tr>
    </w:tbl>
    <w:p w:rsidR="00AB47BA" w:rsidRDefault="00AB47BA">
      <w:pPr>
        <w:pStyle w:val="a3"/>
        <w:divId w:val="1773356573"/>
        <w:rPr>
          <w:sz w:val="18"/>
          <w:szCs w:val="18"/>
        </w:rPr>
      </w:pPr>
      <w:r>
        <w:rPr>
          <w:rFonts w:hint="eastAsia"/>
          <w:sz w:val="18"/>
          <w:szCs w:val="18"/>
        </w:rPr>
        <w:t>2、利润</w:t>
      </w:r>
      <w:proofErr w:type="gramStart"/>
      <w:r>
        <w:rPr>
          <w:rFonts w:hint="eastAsia"/>
          <w:sz w:val="18"/>
          <w:szCs w:val="18"/>
        </w:rPr>
        <w:t>表项目</w:t>
      </w:r>
      <w:proofErr w:type="gramEnd"/>
      <w:r>
        <w:rPr>
          <w:rFonts w:hint="eastAsia"/>
          <w:sz w:val="18"/>
          <w:szCs w:val="18"/>
        </w:rPr>
        <w:t>变动原因说明</w:t>
      </w:r>
    </w:p>
    <w:tbl>
      <w:tblPr>
        <w:tblW w:w="9995" w:type="dxa"/>
        <w:jc w:val="center"/>
        <w:tblInd w:w="-1129" w:type="dxa"/>
        <w:tblCellMar>
          <w:left w:w="0" w:type="dxa"/>
          <w:right w:w="0" w:type="dxa"/>
        </w:tblCellMar>
        <w:tblLook w:val="04A0" w:firstRow="1" w:lastRow="0" w:firstColumn="1" w:lastColumn="0" w:noHBand="0" w:noVBand="1"/>
      </w:tblPr>
      <w:tblGrid>
        <w:gridCol w:w="1706"/>
        <w:gridCol w:w="1555"/>
        <w:gridCol w:w="1701"/>
        <w:gridCol w:w="1417"/>
        <w:gridCol w:w="3616"/>
      </w:tblGrid>
      <w:tr w:rsidR="00AB47BA" w:rsidTr="00AB47BA">
        <w:trPr>
          <w:divId w:val="1773356573"/>
          <w:trHeight w:val="285"/>
          <w:jc w:val="center"/>
        </w:trPr>
        <w:tc>
          <w:tcPr>
            <w:tcW w:w="1706" w:type="dxa"/>
            <w:tcBorders>
              <w:top w:val="single" w:sz="4" w:space="0" w:color="auto"/>
              <w:left w:val="single" w:sz="4" w:space="0" w:color="auto"/>
              <w:bottom w:val="single" w:sz="4" w:space="0" w:color="auto"/>
              <w:right w:val="single" w:sz="4"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项目</w:t>
            </w:r>
          </w:p>
        </w:tc>
        <w:tc>
          <w:tcPr>
            <w:tcW w:w="1555"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本期数</w:t>
            </w:r>
            <w:r w:rsidR="00AF5471">
              <w:rPr>
                <w:rFonts w:asciiTheme="minorEastAsia" w:hAnsiTheme="minorEastAsia" w:hint="eastAsia"/>
                <w:b/>
                <w:color w:val="000000"/>
                <w:sz w:val="20"/>
                <w:szCs w:val="20"/>
              </w:rPr>
              <w:t>（元）</w:t>
            </w:r>
          </w:p>
        </w:tc>
        <w:tc>
          <w:tcPr>
            <w:tcW w:w="1701"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上期数</w:t>
            </w:r>
            <w:r w:rsidR="00AF5471">
              <w:rPr>
                <w:rFonts w:asciiTheme="minorEastAsia" w:hAnsiTheme="minorEastAsia" w:hint="eastAsia"/>
                <w:b/>
                <w:color w:val="000000"/>
                <w:sz w:val="20"/>
                <w:szCs w:val="20"/>
              </w:rPr>
              <w:t>（元）</w:t>
            </w:r>
          </w:p>
        </w:tc>
        <w:tc>
          <w:tcPr>
            <w:tcW w:w="1417"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变动比率</w:t>
            </w:r>
          </w:p>
        </w:tc>
        <w:tc>
          <w:tcPr>
            <w:tcW w:w="3616"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变动原因</w:t>
            </w:r>
          </w:p>
        </w:tc>
      </w:tr>
      <w:tr w:rsidR="00AB47BA" w:rsidTr="00AB47BA">
        <w:trPr>
          <w:divId w:val="1773356573"/>
          <w:trHeight w:val="285"/>
          <w:jc w:val="center"/>
        </w:trPr>
        <w:tc>
          <w:tcPr>
            <w:tcW w:w="1706"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投资收益</w:t>
            </w:r>
          </w:p>
        </w:tc>
        <w:tc>
          <w:tcPr>
            <w:tcW w:w="1555"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41,276,752.04</w:t>
            </w:r>
          </w:p>
        </w:tc>
        <w:tc>
          <w:tcPr>
            <w:tcW w:w="1701"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-58,537,891.29</w:t>
            </w:r>
          </w:p>
        </w:tc>
        <w:tc>
          <w:tcPr>
            <w:tcW w:w="1417"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170.51%</w:t>
            </w:r>
          </w:p>
        </w:tc>
        <w:tc>
          <w:tcPr>
            <w:tcW w:w="3616"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主要系期货收益变动所致；</w:t>
            </w:r>
          </w:p>
        </w:tc>
      </w:tr>
      <w:tr w:rsidR="00AB47BA" w:rsidTr="00AB47BA">
        <w:trPr>
          <w:divId w:val="1773356573"/>
          <w:trHeight w:val="285"/>
          <w:jc w:val="center"/>
        </w:trPr>
        <w:tc>
          <w:tcPr>
            <w:tcW w:w="1706"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公允价值变动收益</w:t>
            </w:r>
          </w:p>
        </w:tc>
        <w:tc>
          <w:tcPr>
            <w:tcW w:w="1555"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-6,486,275.54</w:t>
            </w:r>
          </w:p>
        </w:tc>
        <w:tc>
          <w:tcPr>
            <w:tcW w:w="1701"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31,569,829.59</w:t>
            </w:r>
          </w:p>
        </w:tc>
        <w:tc>
          <w:tcPr>
            <w:tcW w:w="1417"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-120.55%</w:t>
            </w:r>
          </w:p>
        </w:tc>
        <w:tc>
          <w:tcPr>
            <w:tcW w:w="3616"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主要系期货的公允价值减少所致；</w:t>
            </w:r>
          </w:p>
        </w:tc>
      </w:tr>
      <w:tr w:rsidR="00AB47BA" w:rsidTr="00AB47BA">
        <w:trPr>
          <w:divId w:val="1773356573"/>
          <w:trHeight w:val="285"/>
          <w:jc w:val="center"/>
        </w:trPr>
        <w:tc>
          <w:tcPr>
            <w:tcW w:w="1706"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资产处置收益</w:t>
            </w:r>
          </w:p>
        </w:tc>
        <w:tc>
          <w:tcPr>
            <w:tcW w:w="1555"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30,146,285.24</w:t>
            </w:r>
          </w:p>
        </w:tc>
        <w:tc>
          <w:tcPr>
            <w:tcW w:w="1701"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55,286,037.48</w:t>
            </w:r>
          </w:p>
        </w:tc>
        <w:tc>
          <w:tcPr>
            <w:tcW w:w="1417"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-45.47%</w:t>
            </w:r>
          </w:p>
        </w:tc>
        <w:tc>
          <w:tcPr>
            <w:tcW w:w="3616"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主要系处置资产减少所致；</w:t>
            </w:r>
          </w:p>
        </w:tc>
      </w:tr>
      <w:tr w:rsidR="00AB47BA" w:rsidTr="00AB47BA">
        <w:trPr>
          <w:divId w:val="1773356573"/>
          <w:trHeight w:val="285"/>
          <w:jc w:val="center"/>
        </w:trPr>
        <w:tc>
          <w:tcPr>
            <w:tcW w:w="1706"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营业外收入</w:t>
            </w:r>
          </w:p>
        </w:tc>
        <w:tc>
          <w:tcPr>
            <w:tcW w:w="1555"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6,713,179.34</w:t>
            </w:r>
          </w:p>
        </w:tc>
        <w:tc>
          <w:tcPr>
            <w:tcW w:w="1701"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14,892,847.68</w:t>
            </w:r>
          </w:p>
        </w:tc>
        <w:tc>
          <w:tcPr>
            <w:tcW w:w="1417"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-54.92%</w:t>
            </w:r>
          </w:p>
        </w:tc>
        <w:tc>
          <w:tcPr>
            <w:tcW w:w="3616"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主要系索赔收入减少所致；</w:t>
            </w:r>
          </w:p>
        </w:tc>
      </w:tr>
      <w:tr w:rsidR="00AB47BA" w:rsidTr="00AB47BA">
        <w:trPr>
          <w:divId w:val="1773356573"/>
          <w:trHeight w:val="285"/>
          <w:jc w:val="center"/>
        </w:trPr>
        <w:tc>
          <w:tcPr>
            <w:tcW w:w="1706"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营业外支出</w:t>
            </w:r>
          </w:p>
        </w:tc>
        <w:tc>
          <w:tcPr>
            <w:tcW w:w="1555"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4,093,971.68</w:t>
            </w:r>
          </w:p>
        </w:tc>
        <w:tc>
          <w:tcPr>
            <w:tcW w:w="1701"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6,625,079.77</w:t>
            </w:r>
          </w:p>
        </w:tc>
        <w:tc>
          <w:tcPr>
            <w:tcW w:w="1417"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-38.20%</w:t>
            </w:r>
          </w:p>
        </w:tc>
        <w:tc>
          <w:tcPr>
            <w:tcW w:w="3616"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w:t>
            </w:r>
            <w:proofErr w:type="gramStart"/>
            <w:r>
              <w:rPr>
                <w:rFonts w:hint="eastAsia"/>
                <w:color w:val="000000"/>
                <w:sz w:val="20"/>
                <w:szCs w:val="20"/>
              </w:rPr>
              <w:t>系质量</w:t>
            </w:r>
            <w:proofErr w:type="gramEnd"/>
            <w:r>
              <w:rPr>
                <w:rFonts w:hint="eastAsia"/>
                <w:color w:val="000000"/>
                <w:sz w:val="20"/>
                <w:szCs w:val="20"/>
              </w:rPr>
              <w:t>赔款减少所致；</w:t>
            </w:r>
          </w:p>
        </w:tc>
      </w:tr>
      <w:tr w:rsidR="00AB47BA" w:rsidTr="00AB47BA">
        <w:trPr>
          <w:divId w:val="1773356573"/>
          <w:trHeight w:val="285"/>
          <w:jc w:val="center"/>
        </w:trPr>
        <w:tc>
          <w:tcPr>
            <w:tcW w:w="1706"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所得税费用</w:t>
            </w:r>
          </w:p>
        </w:tc>
        <w:tc>
          <w:tcPr>
            <w:tcW w:w="1555"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-3,664,942.15</w:t>
            </w:r>
          </w:p>
        </w:tc>
        <w:tc>
          <w:tcPr>
            <w:tcW w:w="1701" w:type="dxa"/>
            <w:tcBorders>
              <w:top w:val="nil"/>
              <w:left w:val="nil"/>
              <w:bottom w:val="single" w:sz="8" w:space="0" w:color="auto"/>
              <w:right w:val="single" w:sz="8" w:space="0" w:color="auto"/>
            </w:tcBorders>
            <w:noWrap/>
            <w:vAlign w:val="center"/>
            <w:hideMark/>
          </w:tcPr>
          <w:p w:rsidR="00AB47BA" w:rsidRPr="00AB47BA" w:rsidRDefault="00D048EB" w:rsidP="00AB47BA">
            <w:pPr>
              <w:jc w:val="right"/>
              <w:rPr>
                <w:rFonts w:asciiTheme="minorEastAsia" w:hAnsiTheme="minorEastAsia" w:cs="宋体"/>
                <w:color w:val="000000"/>
                <w:sz w:val="20"/>
                <w:szCs w:val="20"/>
              </w:rPr>
            </w:pPr>
            <w:r>
              <w:rPr>
                <w:rFonts w:asciiTheme="minorEastAsia" w:hAnsiTheme="minorEastAsia" w:hint="eastAsia"/>
                <w:color w:val="000000"/>
                <w:sz w:val="20"/>
                <w:szCs w:val="20"/>
              </w:rPr>
              <w:t>21,583,635.76</w:t>
            </w:r>
          </w:p>
        </w:tc>
        <w:tc>
          <w:tcPr>
            <w:tcW w:w="1417" w:type="dxa"/>
            <w:tcBorders>
              <w:top w:val="nil"/>
              <w:left w:val="nil"/>
              <w:bottom w:val="single" w:sz="8" w:space="0" w:color="auto"/>
              <w:right w:val="single" w:sz="8" w:space="0" w:color="auto"/>
            </w:tcBorders>
            <w:noWrap/>
            <w:vAlign w:val="center"/>
            <w:hideMark/>
          </w:tcPr>
          <w:p w:rsidR="00AB47BA" w:rsidRPr="00AB47BA" w:rsidRDefault="00D048EB" w:rsidP="00AB47BA">
            <w:pPr>
              <w:jc w:val="right"/>
              <w:rPr>
                <w:rFonts w:asciiTheme="minorEastAsia" w:hAnsiTheme="minorEastAsia" w:cs="宋体"/>
                <w:color w:val="000000"/>
                <w:sz w:val="20"/>
                <w:szCs w:val="20"/>
              </w:rPr>
            </w:pPr>
            <w:r>
              <w:rPr>
                <w:rFonts w:asciiTheme="minorEastAsia" w:hAnsiTheme="minorEastAsia" w:hint="eastAsia"/>
                <w:color w:val="000000"/>
                <w:sz w:val="20"/>
                <w:szCs w:val="20"/>
              </w:rPr>
              <w:t>-116.98</w:t>
            </w:r>
            <w:r w:rsidR="00AB47BA" w:rsidRPr="00AB47BA">
              <w:rPr>
                <w:rFonts w:asciiTheme="minorEastAsia" w:hAnsiTheme="minorEastAsia" w:hint="eastAsia"/>
                <w:color w:val="000000"/>
                <w:sz w:val="20"/>
                <w:szCs w:val="20"/>
              </w:rPr>
              <w:t>%</w:t>
            </w:r>
          </w:p>
        </w:tc>
        <w:tc>
          <w:tcPr>
            <w:tcW w:w="3616"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proofErr w:type="gramStart"/>
            <w:r>
              <w:rPr>
                <w:rFonts w:hint="eastAsia"/>
                <w:color w:val="000000"/>
                <w:sz w:val="20"/>
                <w:szCs w:val="20"/>
              </w:rPr>
              <w:t>主要系递延</w:t>
            </w:r>
            <w:proofErr w:type="gramEnd"/>
            <w:r>
              <w:rPr>
                <w:rFonts w:hint="eastAsia"/>
                <w:color w:val="000000"/>
                <w:sz w:val="20"/>
                <w:szCs w:val="20"/>
              </w:rPr>
              <w:t>所得税减少所致；</w:t>
            </w:r>
          </w:p>
        </w:tc>
      </w:tr>
    </w:tbl>
    <w:p w:rsidR="00AB47BA" w:rsidRDefault="00AB47BA">
      <w:pPr>
        <w:pStyle w:val="a3"/>
        <w:divId w:val="1773356573"/>
        <w:rPr>
          <w:sz w:val="18"/>
          <w:szCs w:val="18"/>
        </w:rPr>
      </w:pPr>
      <w:r>
        <w:rPr>
          <w:rFonts w:hint="eastAsia"/>
          <w:sz w:val="18"/>
          <w:szCs w:val="18"/>
        </w:rPr>
        <w:t>3、现金流量表项目变动原因说明</w:t>
      </w:r>
    </w:p>
    <w:tbl>
      <w:tblPr>
        <w:tblW w:w="9999" w:type="dxa"/>
        <w:jc w:val="center"/>
        <w:tblCellMar>
          <w:left w:w="0" w:type="dxa"/>
          <w:right w:w="0" w:type="dxa"/>
        </w:tblCellMar>
        <w:tblLook w:val="04A0" w:firstRow="1" w:lastRow="0" w:firstColumn="1" w:lastColumn="0" w:noHBand="0" w:noVBand="1"/>
      </w:tblPr>
      <w:tblGrid>
        <w:gridCol w:w="2733"/>
        <w:gridCol w:w="1843"/>
        <w:gridCol w:w="1842"/>
        <w:gridCol w:w="1134"/>
        <w:gridCol w:w="2447"/>
      </w:tblGrid>
      <w:tr w:rsidR="00AB47BA" w:rsidRPr="00AB47BA" w:rsidTr="00AB47BA">
        <w:trPr>
          <w:divId w:val="1773356573"/>
          <w:trHeight w:val="285"/>
          <w:jc w:val="center"/>
        </w:trPr>
        <w:tc>
          <w:tcPr>
            <w:tcW w:w="2733" w:type="dxa"/>
            <w:tcBorders>
              <w:top w:val="single" w:sz="4" w:space="0" w:color="auto"/>
              <w:left w:val="single" w:sz="4" w:space="0" w:color="auto"/>
              <w:bottom w:val="single" w:sz="4" w:space="0" w:color="auto"/>
              <w:right w:val="single" w:sz="4"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项目</w:t>
            </w:r>
          </w:p>
        </w:tc>
        <w:tc>
          <w:tcPr>
            <w:tcW w:w="1843"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本期数</w:t>
            </w:r>
            <w:r w:rsidR="00AF5471">
              <w:rPr>
                <w:rFonts w:asciiTheme="minorEastAsia" w:hAnsiTheme="minorEastAsia" w:hint="eastAsia"/>
                <w:b/>
                <w:color w:val="000000"/>
                <w:sz w:val="20"/>
                <w:szCs w:val="20"/>
              </w:rPr>
              <w:t>（元）</w:t>
            </w:r>
          </w:p>
        </w:tc>
        <w:tc>
          <w:tcPr>
            <w:tcW w:w="1842"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上期数</w:t>
            </w:r>
            <w:r w:rsidR="00AF5471">
              <w:rPr>
                <w:rFonts w:asciiTheme="minorEastAsia" w:hAnsiTheme="minorEastAsia" w:hint="eastAsia"/>
                <w:b/>
                <w:color w:val="000000"/>
                <w:sz w:val="20"/>
                <w:szCs w:val="20"/>
              </w:rPr>
              <w:t>（元）</w:t>
            </w:r>
          </w:p>
        </w:tc>
        <w:tc>
          <w:tcPr>
            <w:tcW w:w="1134"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变动比率</w:t>
            </w:r>
          </w:p>
        </w:tc>
        <w:tc>
          <w:tcPr>
            <w:tcW w:w="2447" w:type="dxa"/>
            <w:tcBorders>
              <w:top w:val="single" w:sz="8" w:space="0" w:color="auto"/>
              <w:left w:val="nil"/>
              <w:bottom w:val="single" w:sz="8" w:space="0" w:color="auto"/>
              <w:right w:val="single" w:sz="8" w:space="0" w:color="auto"/>
            </w:tcBorders>
            <w:noWrap/>
            <w:vAlign w:val="center"/>
            <w:hideMark/>
          </w:tcPr>
          <w:p w:rsidR="00AB47BA" w:rsidRPr="00AB47BA" w:rsidRDefault="00AB47BA" w:rsidP="00AB47BA">
            <w:pPr>
              <w:jc w:val="center"/>
              <w:rPr>
                <w:rFonts w:ascii="宋体" w:eastAsia="宋体" w:hAnsi="宋体" w:cs="宋体"/>
                <w:b/>
                <w:color w:val="000000"/>
                <w:sz w:val="20"/>
                <w:szCs w:val="20"/>
              </w:rPr>
            </w:pPr>
            <w:r w:rsidRPr="00AB47BA">
              <w:rPr>
                <w:rFonts w:hint="eastAsia"/>
                <w:b/>
                <w:color w:val="000000"/>
                <w:sz w:val="20"/>
                <w:szCs w:val="20"/>
              </w:rPr>
              <w:t>变动原因</w:t>
            </w:r>
          </w:p>
        </w:tc>
      </w:tr>
      <w:tr w:rsidR="00AB47BA" w:rsidTr="00AB47BA">
        <w:trPr>
          <w:divId w:val="1773356573"/>
          <w:trHeight w:val="285"/>
          <w:jc w:val="center"/>
        </w:trPr>
        <w:tc>
          <w:tcPr>
            <w:tcW w:w="2733"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投资活动产生的现金流量净额</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-717,958,308.01</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473,130,431.58</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-251.75%</w:t>
            </w:r>
          </w:p>
        </w:tc>
        <w:tc>
          <w:tcPr>
            <w:tcW w:w="2447"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w:t>
            </w:r>
            <w:proofErr w:type="gramStart"/>
            <w:r>
              <w:rPr>
                <w:rFonts w:hint="eastAsia"/>
                <w:color w:val="000000"/>
                <w:sz w:val="20"/>
                <w:szCs w:val="20"/>
              </w:rPr>
              <w:t>系项目</w:t>
            </w:r>
            <w:proofErr w:type="gramEnd"/>
            <w:r>
              <w:rPr>
                <w:rFonts w:hint="eastAsia"/>
                <w:color w:val="000000"/>
                <w:sz w:val="20"/>
                <w:szCs w:val="20"/>
              </w:rPr>
              <w:t>投入增加所致；</w:t>
            </w:r>
          </w:p>
        </w:tc>
      </w:tr>
      <w:tr w:rsidR="00AB47BA" w:rsidTr="00AB47BA">
        <w:trPr>
          <w:divId w:val="1773356573"/>
          <w:trHeight w:val="285"/>
          <w:jc w:val="center"/>
        </w:trPr>
        <w:tc>
          <w:tcPr>
            <w:tcW w:w="2733" w:type="dxa"/>
            <w:tcBorders>
              <w:top w:val="nil"/>
              <w:left w:val="single" w:sz="8" w:space="0" w:color="auto"/>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筹资活动产生的现金流量净额</w:t>
            </w:r>
          </w:p>
        </w:tc>
        <w:tc>
          <w:tcPr>
            <w:tcW w:w="1843"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-1,003,482,292.77</w:t>
            </w:r>
          </w:p>
        </w:tc>
        <w:tc>
          <w:tcPr>
            <w:tcW w:w="1842"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-1,458,094,007.44</w:t>
            </w:r>
          </w:p>
        </w:tc>
        <w:tc>
          <w:tcPr>
            <w:tcW w:w="1134" w:type="dxa"/>
            <w:tcBorders>
              <w:top w:val="nil"/>
              <w:left w:val="nil"/>
              <w:bottom w:val="single" w:sz="8" w:space="0" w:color="auto"/>
              <w:right w:val="single" w:sz="8" w:space="0" w:color="auto"/>
            </w:tcBorders>
            <w:noWrap/>
            <w:vAlign w:val="center"/>
            <w:hideMark/>
          </w:tcPr>
          <w:p w:rsidR="00AB47BA" w:rsidRPr="00AB47BA" w:rsidRDefault="00AB47BA" w:rsidP="00AB47BA">
            <w:pPr>
              <w:jc w:val="right"/>
              <w:rPr>
                <w:rFonts w:asciiTheme="minorEastAsia" w:hAnsiTheme="minorEastAsia" w:cs="宋体"/>
                <w:color w:val="000000"/>
                <w:sz w:val="20"/>
                <w:szCs w:val="20"/>
              </w:rPr>
            </w:pPr>
            <w:r w:rsidRPr="00AB47BA">
              <w:rPr>
                <w:rFonts w:asciiTheme="minorEastAsia" w:hAnsiTheme="minorEastAsia" w:hint="eastAsia"/>
                <w:color w:val="000000"/>
                <w:sz w:val="20"/>
                <w:szCs w:val="20"/>
              </w:rPr>
              <w:t>31.18%</w:t>
            </w:r>
          </w:p>
        </w:tc>
        <w:tc>
          <w:tcPr>
            <w:tcW w:w="2447" w:type="dxa"/>
            <w:tcBorders>
              <w:top w:val="nil"/>
              <w:left w:val="nil"/>
              <w:bottom w:val="single" w:sz="8" w:space="0" w:color="auto"/>
              <w:right w:val="single" w:sz="8" w:space="0" w:color="auto"/>
            </w:tcBorders>
            <w:noWrap/>
            <w:vAlign w:val="center"/>
            <w:hideMark/>
          </w:tcPr>
          <w:p w:rsidR="00AB47BA" w:rsidRDefault="00AB47BA">
            <w:pPr>
              <w:rPr>
                <w:rFonts w:ascii="宋体" w:eastAsia="宋体" w:hAnsi="宋体" w:cs="宋体"/>
                <w:color w:val="000000"/>
                <w:sz w:val="20"/>
                <w:szCs w:val="20"/>
              </w:rPr>
            </w:pPr>
            <w:r>
              <w:rPr>
                <w:rFonts w:hint="eastAsia"/>
                <w:color w:val="000000"/>
                <w:sz w:val="20"/>
                <w:szCs w:val="20"/>
              </w:rPr>
              <w:t>主要系借款增加所致；</w:t>
            </w:r>
          </w:p>
        </w:tc>
      </w:tr>
    </w:tbl>
    <w:p w:rsidR="007C566A" w:rsidRDefault="00AB47BA">
      <w:pPr>
        <w:pStyle w:val="headingh1"/>
        <w:spacing w:before="300" w:after="300" w:line="320" w:lineRule="exact"/>
        <w:rPr>
          <w:rFonts w:ascii="宋体" w:eastAsia="宋体" w:hAnsi="宋体" w:cs="宋体"/>
          <w:b/>
          <w:bCs/>
          <w:sz w:val="24"/>
          <w:szCs w:val="24"/>
        </w:rPr>
      </w:pPr>
      <w:bookmarkStart w:id="4" w:name="_Toc988893"/>
      <w:r>
        <w:rPr>
          <w:rFonts w:ascii="宋体" w:eastAsia="宋体" w:hAnsi="宋体" w:cs="宋体"/>
          <w:b/>
          <w:bCs/>
          <w:sz w:val="24"/>
          <w:szCs w:val="24"/>
        </w:rPr>
        <w:t>二、股东信息</w:t>
      </w:r>
      <w:bookmarkEnd w:id="4"/>
    </w:p>
    <w:p w:rsidR="007C566A" w:rsidRDefault="00AB47BA">
      <w:pPr>
        <w:pStyle w:val="2"/>
        <w:spacing w:before="300" w:after="300" w:line="280" w:lineRule="exact"/>
        <w:rPr>
          <w:rFonts w:ascii="宋体" w:eastAsia="宋体" w:hAnsi="宋体" w:cs="宋体"/>
          <w:b/>
          <w:bCs/>
        </w:rPr>
      </w:pPr>
      <w:bookmarkStart w:id="5" w:name="_Toc988894"/>
      <w:r>
        <w:rPr>
          <w:rFonts w:ascii="宋体" w:eastAsia="宋体" w:hAnsi="宋体" w:cs="宋体"/>
          <w:b/>
          <w:bCs/>
        </w:rPr>
        <w:t>（一） 普通股股东总数和表决权恢复的优先股股东数量及前十名股东持股情况表</w:t>
      </w:r>
      <w:bookmarkEnd w:id="5"/>
    </w:p>
    <w:p w:rsidR="00AB47BA" w:rsidRDefault="00AB47BA" w:rsidP="00AB47BA"/>
    <w:p w:rsidR="00E53EDD" w:rsidRPr="00AB47BA" w:rsidRDefault="00E53EDD" w:rsidP="00AB47BA"/>
    <w:p w:rsidR="007C566A" w:rsidRDefault="00AB47BA">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660"/>
        <w:gridCol w:w="94"/>
        <w:gridCol w:w="1377"/>
        <w:gridCol w:w="88"/>
        <w:gridCol w:w="851"/>
        <w:gridCol w:w="1275"/>
        <w:gridCol w:w="540"/>
        <w:gridCol w:w="878"/>
        <w:gridCol w:w="499"/>
        <w:gridCol w:w="493"/>
        <w:gridCol w:w="884"/>
      </w:tblGrid>
      <w:tr w:rsidR="007C566A">
        <w:trPr>
          <w:trHeight w:val="240"/>
        </w:trPr>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377"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29,678</w:t>
            </w:r>
          </w:p>
        </w:tc>
        <w:tc>
          <w:tcPr>
            <w:tcW w:w="4131"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前10名股东持股情况（不含通过转融通出借股份）</w:t>
            </w:r>
          </w:p>
        </w:tc>
      </w:tr>
      <w:tr w:rsidR="007C566A" w:rsidTr="00AB47BA">
        <w:trPr>
          <w:trHeight w:val="240"/>
        </w:trPr>
        <w:tc>
          <w:tcPr>
            <w:tcW w:w="266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559"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85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1418"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876"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7C566A" w:rsidTr="00AB47BA">
        <w:trPr>
          <w:trHeight w:val="240"/>
        </w:trPr>
        <w:tc>
          <w:tcPr>
            <w:tcW w:w="266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559"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85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2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418"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99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4.82%</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质押</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1.65%</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28,136,006</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1.42%</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24,145,662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境外法人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18,138,255</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杭州金蟾蜍投资管理有限公司－金蟾蜍</w:t>
            </w:r>
            <w:proofErr w:type="gramStart"/>
            <w:r>
              <w:rPr>
                <w:rFonts w:ascii="宋体" w:eastAsia="宋体" w:hAnsi="宋体" w:cs="宋体"/>
                <w:sz w:val="18"/>
                <w:szCs w:val="18"/>
              </w:rPr>
              <w:t>睿</w:t>
            </w:r>
            <w:proofErr w:type="gramEnd"/>
            <w:r>
              <w:rPr>
                <w:rFonts w:ascii="宋体" w:eastAsia="宋体" w:hAnsi="宋体" w:cs="宋体"/>
                <w:sz w:val="18"/>
                <w:szCs w:val="18"/>
              </w:rPr>
              <w:t>达一号私募证券投资基金</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0.84%</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14,272,400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中航</w:t>
            </w:r>
            <w:proofErr w:type="gramStart"/>
            <w:r>
              <w:rPr>
                <w:rFonts w:ascii="宋体" w:eastAsia="宋体" w:hAnsi="宋体" w:cs="宋体"/>
                <w:sz w:val="18"/>
                <w:szCs w:val="18"/>
              </w:rPr>
              <w:t>鑫</w:t>
            </w:r>
            <w:proofErr w:type="gramEnd"/>
            <w:r>
              <w:rPr>
                <w:rFonts w:ascii="宋体" w:eastAsia="宋体" w:hAnsi="宋体" w:cs="宋体"/>
                <w:sz w:val="18"/>
                <w:szCs w:val="18"/>
              </w:rPr>
              <w:t>港担保有限公司</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国有法人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0.62%</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10,594,150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rsidTr="00AB47BA">
        <w:trPr>
          <w:trHeight w:val="240"/>
        </w:trPr>
        <w:tc>
          <w:tcPr>
            <w:tcW w:w="2660"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杨三宝</w:t>
            </w:r>
          </w:p>
        </w:tc>
        <w:tc>
          <w:tcPr>
            <w:tcW w:w="1559" w:type="dxa"/>
            <w:gridSpan w:val="3"/>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0.60%</w:t>
            </w:r>
          </w:p>
        </w:tc>
        <w:tc>
          <w:tcPr>
            <w:tcW w:w="1275"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10,253,300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p>
        </w:tc>
        <w:tc>
          <w:tcPr>
            <w:tcW w:w="884"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7C566A">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股东持股情况（不含通过转融通出借股份、高管锁定股）</w:t>
            </w:r>
          </w:p>
        </w:tc>
      </w:tr>
      <w:tr w:rsidR="007C566A" w:rsidTr="00AB47BA">
        <w:trPr>
          <w:trHeight w:val="240"/>
        </w:trPr>
        <w:tc>
          <w:tcPr>
            <w:tcW w:w="5070"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815"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股份数量</w:t>
            </w:r>
          </w:p>
        </w:tc>
        <w:tc>
          <w:tcPr>
            <w:tcW w:w="275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股份种类及数量</w:t>
            </w:r>
          </w:p>
        </w:tc>
      </w:tr>
      <w:tr w:rsidR="007C566A" w:rsidTr="00AB47BA">
        <w:trPr>
          <w:trHeight w:val="240"/>
        </w:trPr>
        <w:tc>
          <w:tcPr>
            <w:tcW w:w="5070"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815"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501,655,862</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81,973,588</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28,136,006</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28,136,006</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24,145,662</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24,145,662</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18,138,255</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18,138,255</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杭州金蟾蜍投资管理有限公司－金蟾蜍</w:t>
            </w:r>
            <w:proofErr w:type="gramStart"/>
            <w:r>
              <w:rPr>
                <w:rFonts w:ascii="宋体" w:eastAsia="宋体" w:hAnsi="宋体" w:cs="宋体"/>
                <w:sz w:val="18"/>
                <w:szCs w:val="18"/>
              </w:rPr>
              <w:t>睿</w:t>
            </w:r>
            <w:proofErr w:type="gramEnd"/>
            <w:r>
              <w:rPr>
                <w:rFonts w:ascii="宋体" w:eastAsia="宋体" w:hAnsi="宋体" w:cs="宋体"/>
                <w:sz w:val="18"/>
                <w:szCs w:val="18"/>
              </w:rPr>
              <w:t>达一号私募证券投资基金</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14,272,400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14,272,400</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中航</w:t>
            </w:r>
            <w:proofErr w:type="gramStart"/>
            <w:r>
              <w:rPr>
                <w:rFonts w:ascii="宋体" w:eastAsia="宋体" w:hAnsi="宋体" w:cs="宋体"/>
                <w:sz w:val="18"/>
                <w:szCs w:val="18"/>
              </w:rPr>
              <w:t>鑫</w:t>
            </w:r>
            <w:proofErr w:type="gramEnd"/>
            <w:r>
              <w:rPr>
                <w:rFonts w:ascii="宋体" w:eastAsia="宋体" w:hAnsi="宋体" w:cs="宋体"/>
                <w:sz w:val="18"/>
                <w:szCs w:val="18"/>
              </w:rPr>
              <w:t>港担保有限公司</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10,594,150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10,594,150</w:t>
            </w:r>
          </w:p>
        </w:tc>
      </w:tr>
      <w:tr w:rsidR="007C566A" w:rsidTr="00AB47BA">
        <w:trPr>
          <w:trHeight w:val="240"/>
        </w:trPr>
        <w:tc>
          <w:tcPr>
            <w:tcW w:w="5070" w:type="dxa"/>
            <w:gridSpan w:val="5"/>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杨三宝</w:t>
            </w:r>
          </w:p>
        </w:tc>
        <w:tc>
          <w:tcPr>
            <w:tcW w:w="1815"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10,253,300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10,253,300</w:t>
            </w:r>
          </w:p>
        </w:tc>
      </w:tr>
      <w:tr w:rsidR="007C566A">
        <w:trPr>
          <w:trHeight w:val="240"/>
        </w:trPr>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5508" w:type="dxa"/>
            <w:gridSpan w:val="8"/>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上述股东中华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7C566A">
        <w:trPr>
          <w:trHeight w:val="240"/>
        </w:trPr>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前10名股东参与融资融券业务情况说明（如有）</w:t>
            </w:r>
          </w:p>
        </w:tc>
        <w:tc>
          <w:tcPr>
            <w:tcW w:w="5508" w:type="dxa"/>
            <w:gridSpan w:val="8"/>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不适用</w:t>
            </w:r>
            <w:r>
              <w:rPr>
                <w:rFonts w:ascii="Times New Roman" w:eastAsia="宋体" w:hAnsi="Times New Roman" w:cs="Times New Roman"/>
                <w:color w:val="F00000"/>
                <w:vertAlign w:val="superscript"/>
              </w:rPr>
              <w:t>1</w:t>
            </w:r>
          </w:p>
        </w:tc>
      </w:tr>
    </w:tbl>
    <w:p w:rsidR="007C566A" w:rsidRDefault="00AB47BA">
      <w:r>
        <w:rPr>
          <w:rFonts w:ascii="仿宋" w:eastAsia="仿宋" w:hAnsi="仿宋" w:cs="仿宋"/>
        </w:rPr>
        <w:t>注：1 公司前十大股东中存在回购专户，按要求不纳入前十大股东列示，回购专户持有股数为95,478,485股，占比5.61%。</w:t>
      </w:r>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持股5%以上股东、前10名股东及前10名无限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股股东参与转融通业务出借股份情况</w:t>
      </w:r>
    </w:p>
    <w:p w:rsidR="007C566A" w:rsidRDefault="00AB47BA">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前10名股东及前10名无限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股股东因转融通出借/归还原因导致较上期发生变化</w:t>
      </w:r>
    </w:p>
    <w:p w:rsidR="007C566A" w:rsidRDefault="00AB47BA">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7C566A" w:rsidRDefault="00AB47BA">
      <w:pPr>
        <w:pStyle w:val="2"/>
        <w:spacing w:before="300" w:after="300" w:line="280" w:lineRule="exact"/>
        <w:rPr>
          <w:rFonts w:ascii="宋体" w:eastAsia="宋体" w:hAnsi="宋体" w:cs="宋体"/>
          <w:b/>
          <w:bCs/>
        </w:rPr>
      </w:pPr>
      <w:bookmarkStart w:id="6" w:name="_Toc988895"/>
      <w:r>
        <w:rPr>
          <w:rFonts w:ascii="宋体" w:eastAsia="宋体" w:hAnsi="宋体" w:cs="宋体"/>
          <w:b/>
          <w:bCs/>
        </w:rPr>
        <w:lastRenderedPageBreak/>
        <w:t>（二） 公司优先股股东总数及前10名优先股股东持股情况表</w:t>
      </w:r>
      <w:bookmarkEnd w:id="6"/>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7C566A" w:rsidRDefault="00AB47BA">
      <w:pPr>
        <w:pStyle w:val="headingh1"/>
        <w:spacing w:before="300" w:after="300" w:line="320" w:lineRule="exact"/>
        <w:rPr>
          <w:rFonts w:ascii="宋体" w:eastAsia="宋体" w:hAnsi="宋体" w:cs="宋体"/>
          <w:b/>
          <w:bCs/>
          <w:sz w:val="24"/>
          <w:szCs w:val="24"/>
        </w:rPr>
      </w:pPr>
      <w:bookmarkStart w:id="7" w:name="_Toc988896"/>
      <w:r>
        <w:rPr>
          <w:rFonts w:ascii="宋体" w:eastAsia="宋体" w:hAnsi="宋体" w:cs="宋体"/>
          <w:b/>
          <w:bCs/>
          <w:sz w:val="24"/>
          <w:szCs w:val="24"/>
        </w:rPr>
        <w:t>三、其他重要事项</w:t>
      </w:r>
      <w:bookmarkEnd w:id="7"/>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AB47BA" w:rsidRPr="00AB47BA" w:rsidRDefault="00AB47BA" w:rsidP="00AB47BA">
      <w:pPr>
        <w:spacing w:line="360" w:lineRule="auto"/>
        <w:ind w:firstLineChars="200" w:firstLine="360"/>
        <w:divId w:val="1359699241"/>
        <w:rPr>
          <w:rFonts w:ascii="宋体" w:eastAsia="宋体" w:hAnsi="宋体" w:cs="宋体"/>
          <w:sz w:val="18"/>
          <w:szCs w:val="18"/>
        </w:rPr>
      </w:pPr>
      <w:r w:rsidRPr="00AB47BA">
        <w:rPr>
          <w:rFonts w:ascii="宋体" w:eastAsia="宋体" w:hAnsi="宋体" w:cs="宋体" w:hint="eastAsia"/>
          <w:sz w:val="18"/>
          <w:szCs w:val="18"/>
        </w:rPr>
        <w:t>一、上虞华尚数</w:t>
      </w:r>
      <w:proofErr w:type="gramStart"/>
      <w:r w:rsidRPr="00AB47BA">
        <w:rPr>
          <w:rFonts w:ascii="宋体" w:eastAsia="宋体" w:hAnsi="宋体" w:cs="宋体" w:hint="eastAsia"/>
          <w:sz w:val="18"/>
          <w:szCs w:val="18"/>
        </w:rPr>
        <w:t>智中心AIGC智算</w:t>
      </w:r>
      <w:proofErr w:type="gramEnd"/>
      <w:r w:rsidRPr="00AB47BA">
        <w:rPr>
          <w:rFonts w:ascii="宋体" w:eastAsia="宋体" w:hAnsi="宋体" w:cs="宋体" w:hint="eastAsia"/>
          <w:sz w:val="18"/>
          <w:szCs w:val="18"/>
        </w:rPr>
        <w:t>中心项目</w:t>
      </w:r>
    </w:p>
    <w:p w:rsidR="00AB47BA" w:rsidRPr="00AB47BA" w:rsidRDefault="00AB47BA" w:rsidP="00AB47BA">
      <w:pPr>
        <w:spacing w:line="360" w:lineRule="auto"/>
        <w:ind w:firstLineChars="200" w:firstLine="360"/>
        <w:divId w:val="1359699241"/>
        <w:rPr>
          <w:rFonts w:ascii="宋体" w:eastAsia="宋体" w:hAnsi="宋体" w:cs="宋体"/>
          <w:sz w:val="18"/>
          <w:szCs w:val="18"/>
        </w:rPr>
      </w:pPr>
      <w:r w:rsidRPr="00AB47BA">
        <w:rPr>
          <w:rFonts w:ascii="宋体" w:eastAsia="宋体" w:hAnsi="宋体" w:cs="宋体" w:hint="eastAsia"/>
          <w:sz w:val="18"/>
          <w:szCs w:val="18"/>
        </w:rPr>
        <w:t>（1）公司全资子公司浙江华孚色纺有限公司与北京国信城研科学技术研究院签署《算力服务采购框架协议》，北京国信向浙江华孚</w:t>
      </w:r>
      <w:proofErr w:type="gramStart"/>
      <w:r w:rsidRPr="00AB47BA">
        <w:rPr>
          <w:rFonts w:ascii="宋体" w:eastAsia="宋体" w:hAnsi="宋体" w:cs="宋体" w:hint="eastAsia"/>
          <w:sz w:val="18"/>
          <w:szCs w:val="18"/>
        </w:rPr>
        <w:t>采购算力服务</w:t>
      </w:r>
      <w:proofErr w:type="gramEnd"/>
      <w:r w:rsidRPr="00AB47BA">
        <w:rPr>
          <w:rFonts w:ascii="宋体" w:eastAsia="宋体" w:hAnsi="宋体" w:cs="宋体" w:hint="eastAsia"/>
          <w:sz w:val="18"/>
          <w:szCs w:val="18"/>
        </w:rPr>
        <w:t>。本次合同期限为36个月，预计合同总金额为7,188.48万元。详见公司于2024年8月31日发布的《关于签署算力服务框架协议的公告》（2024-49）。</w:t>
      </w:r>
    </w:p>
    <w:p w:rsidR="007C566A" w:rsidRDefault="00AB47BA">
      <w:pPr>
        <w:pStyle w:val="headingh1"/>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t>四、季度财务报表</w:t>
      </w:r>
      <w:bookmarkEnd w:id="8"/>
    </w:p>
    <w:p w:rsidR="007C566A" w:rsidRDefault="00AB47BA">
      <w:pPr>
        <w:pStyle w:val="2"/>
        <w:spacing w:before="300" w:after="300" w:line="280" w:lineRule="exact"/>
        <w:rPr>
          <w:rFonts w:ascii="宋体" w:eastAsia="宋体" w:hAnsi="宋体" w:cs="宋体"/>
          <w:b/>
          <w:bCs/>
        </w:rPr>
      </w:pPr>
      <w:bookmarkStart w:id="9" w:name="_Toc988898"/>
      <w:r>
        <w:rPr>
          <w:rFonts w:ascii="宋体" w:eastAsia="宋体" w:hAnsi="宋体" w:cs="宋体"/>
          <w:b/>
          <w:bCs/>
        </w:rPr>
        <w:t>（一） 财务报表</w:t>
      </w:r>
      <w:bookmarkStart w:id="10" w:name="_GoBack"/>
      <w:bookmarkEnd w:id="9"/>
      <w:bookmarkEnd w:id="10"/>
    </w:p>
    <w:p w:rsidR="007C566A" w:rsidRDefault="00AB47BA">
      <w:pPr>
        <w:pStyle w:val="3"/>
        <w:spacing w:line="280" w:lineRule="exact"/>
        <w:jc w:val="left"/>
        <w:rPr>
          <w:rFonts w:ascii="宋体" w:hAnsi="宋体" w:cs="宋体"/>
          <w:b/>
          <w:bCs/>
        </w:rPr>
      </w:pPr>
      <w:bookmarkStart w:id="11" w:name="_Toc988899"/>
      <w:r>
        <w:rPr>
          <w:rFonts w:ascii="宋体" w:hAnsi="宋体" w:cs="宋体"/>
          <w:b/>
          <w:bCs/>
        </w:rPr>
        <w:t>1、合并资产负债表</w:t>
      </w:r>
      <w:bookmarkEnd w:id="11"/>
    </w:p>
    <w:p w:rsidR="007C566A" w:rsidRDefault="00AB47BA">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2024年09月30日</w:t>
      </w:r>
    </w:p>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期初余额</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3,691,121,331.43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2,636,623,050.27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324,816,710.74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111,676,576.27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745,323,226.32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1,262,900,914.05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613,362,244.00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285,238,038.24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3,760,169,650.83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5,007,466,587.13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3,052,350.94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2,931,142.48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192,715,296.45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125,091,080.55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10,377,014,095.27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9,910,283,069.91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327,975,949.45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326,084,172.45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77,719,124.35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77,716,692.81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119,116,031.83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4,498,571,561.13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4,675,835,696.14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775,123,259.38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20,401,370.17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802,880,304.84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14,101,660.26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18,209,091.31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203,274,830.27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15,766,065.00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213,610,511.50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7,006,691,998.15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7,130,989,952.93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17,383,706,093.42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17,041,273,022.84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7,908,048,950.30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7,083,948,407.58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110,241,217.40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653,664,758.33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924,554,728.71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9,222,452.41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7,293,483.28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446,463,218.64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56,361,038.46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69,900,895.46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44,458,157.00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82,862,010.47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192,983,499.75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439,839,568.00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415,830,327.16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53,296,193.85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9,914,579,054.14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9,556,760,040.56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820,031,412.46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726,461,232.31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20,792,511.47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15,991,096.53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7,610.61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33,804,504.24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35,626,316.46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13,469,857.19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1,132,473,034.42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1,035,997,886.82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11,047,052,088.56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10,592,757,927.38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-152,655,842.81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-96,153,506.00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1,722,068,920.72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1,674,292,092.74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6,047,806,916.59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6,156,565,539.90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288,847,088.27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291,949,555.56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6,336,654,004.86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17,383,706,093.42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17,041,273,022.84</w:t>
            </w:r>
          </w:p>
        </w:tc>
      </w:tr>
    </w:tbl>
    <w:p w:rsidR="007C566A" w:rsidRDefault="00AB47BA">
      <w:pPr>
        <w:spacing w:line="240" w:lineRule="exact"/>
        <w:rPr>
          <w:rFonts w:ascii="宋体" w:eastAsia="宋体" w:hAnsi="宋体" w:cs="宋体"/>
          <w:sz w:val="18"/>
          <w:szCs w:val="18"/>
        </w:rPr>
      </w:pPr>
      <w:r>
        <w:rPr>
          <w:rFonts w:ascii="宋体" w:eastAsia="宋体" w:hAnsi="宋体" w:cs="宋体"/>
          <w:sz w:val="18"/>
          <w:szCs w:val="18"/>
        </w:rPr>
        <w:t>法定代表人：孙伟挺    主管会计工作负责人：陈玲芬      会计机构负责人：王国友</w:t>
      </w:r>
    </w:p>
    <w:p w:rsidR="007C566A" w:rsidRDefault="00AB47BA">
      <w:pPr>
        <w:pStyle w:val="3"/>
        <w:spacing w:line="280" w:lineRule="exact"/>
        <w:jc w:val="left"/>
        <w:rPr>
          <w:rFonts w:ascii="宋体" w:hAnsi="宋体" w:cs="宋体"/>
          <w:b/>
          <w:bCs/>
        </w:rPr>
      </w:pPr>
      <w:bookmarkStart w:id="12" w:name="_Toc988900"/>
      <w:r>
        <w:rPr>
          <w:rFonts w:ascii="宋体" w:hAnsi="宋体" w:cs="宋体"/>
          <w:b/>
          <w:bCs/>
        </w:rPr>
        <w:t>2、合并年初到报告</w:t>
      </w:r>
      <w:proofErr w:type="gramStart"/>
      <w:r>
        <w:rPr>
          <w:rFonts w:ascii="宋体" w:hAnsi="宋体" w:cs="宋体"/>
          <w:b/>
          <w:bCs/>
        </w:rPr>
        <w:t>期末利润</w:t>
      </w:r>
      <w:proofErr w:type="gramEnd"/>
      <w:r>
        <w:rPr>
          <w:rFonts w:ascii="宋体" w:hAnsi="宋体" w:cs="宋体"/>
          <w:b/>
          <w:bCs/>
        </w:rPr>
        <w:t>表</w:t>
      </w:r>
      <w:bookmarkEnd w:id="12"/>
    </w:p>
    <w:p w:rsidR="007C566A" w:rsidRDefault="00AB47BA">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9,327,003,257.67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11,052,837,196.40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9,327,003,257.67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11,052,837,196.40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9,440,210,676.82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11,104,730,451.83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8,853,193,137.53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10,480,981,160.31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57,898,859.03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62,528,851.40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76,375,802.39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95,329,034.59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245,157,235.73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256,349,888.35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81,179,689.71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82,819,613.87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126,405,952.43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126,721,903.31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139,374,771.69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170,425,002.36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-22,711,887.87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-25,665,999.59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73,532,946.70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88,594,471.09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w:t>
            </w:r>
            <w:r>
              <w:rPr>
                <w:rFonts w:ascii="宋体" w:eastAsia="宋体" w:hAnsi="宋体" w:cs="宋体"/>
                <w:sz w:val="18"/>
                <w:szCs w:val="18"/>
              </w:rPr>
              <w:lastRenderedPageBreak/>
              <w:t>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lastRenderedPageBreak/>
              <w:t>41,276,752.04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-58,537,891.29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lastRenderedPageBreak/>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-6,486,275.54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31,569,829.59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11,957,074.21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10,043,865.91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17,294,367.68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23,564,750.24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30,146,285.24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55,286,037.48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54,513,731.18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98,627,807.59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6,713,179.34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14,892,847.68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4,093,971.68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6,625,079.77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57,132,938.84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106,895,575.50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-3,664,942.15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21,583,635.76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60,797,880.99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85,311,939.74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60,797,880.99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85,311,939.74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47,776,827.98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84,937,772.72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13,021,053.01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374,167.02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-56,502,336.81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-72,581,585.42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-56,502,336.81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-72,581,585.42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-422,933.19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-1,018,355.32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-422,933.19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-1,018,355.32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-56,079,403.62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-71,563,230.10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-56,079,403.62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-71,563,230.10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4,295,544.18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12,730,354.32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（一）归属于母公司所有者的综合收益总额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-8,725,508.83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12,356,187.30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（二）归属于少数股东的综合收益总额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13,021,053.01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374,167.02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0.06</w:t>
            </w:r>
          </w:p>
        </w:tc>
      </w:tr>
    </w:tbl>
    <w:p w:rsidR="007C566A" w:rsidRDefault="00AB47BA">
      <w:pPr>
        <w:spacing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7C566A" w:rsidRDefault="00AB47BA">
      <w:pPr>
        <w:spacing w:line="240" w:lineRule="exact"/>
        <w:rPr>
          <w:rFonts w:ascii="宋体" w:eastAsia="宋体" w:hAnsi="宋体" w:cs="宋体"/>
          <w:sz w:val="18"/>
          <w:szCs w:val="18"/>
        </w:rPr>
      </w:pPr>
      <w:r>
        <w:rPr>
          <w:rFonts w:ascii="宋体" w:eastAsia="宋体" w:hAnsi="宋体" w:cs="宋体"/>
          <w:sz w:val="18"/>
          <w:szCs w:val="18"/>
        </w:rPr>
        <w:t>法定代表人：孙伟挺    主管会计工作负责人：陈玲芬    会计机构负责人：王国友</w:t>
      </w:r>
    </w:p>
    <w:p w:rsidR="007C566A" w:rsidRDefault="00AB47BA">
      <w:pPr>
        <w:pStyle w:val="3"/>
        <w:spacing w:line="280" w:lineRule="exact"/>
        <w:jc w:val="left"/>
        <w:rPr>
          <w:rFonts w:ascii="宋体" w:hAnsi="宋体" w:cs="宋体"/>
          <w:b/>
          <w:bCs/>
        </w:rPr>
      </w:pPr>
      <w:bookmarkStart w:id="13" w:name="_Toc988901"/>
      <w:r>
        <w:rPr>
          <w:rFonts w:ascii="宋体" w:hAnsi="宋体" w:cs="宋体"/>
          <w:b/>
          <w:bCs/>
        </w:rPr>
        <w:t>3、合并年初到报告期末现金流量表</w:t>
      </w:r>
      <w:bookmarkEnd w:id="13"/>
    </w:p>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10,176,830,418.06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13,966,961,674.45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10,152,584.14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55,729,018.69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1,083,274,045.21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1,458,325,782.00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11,270,257,047.41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15,481,016,475.14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7,672,902,850.35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11,314,812,315.47</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603,673,911.41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609,535,110.40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248,813,195.31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268,808,328.26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1,478,712,520.47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1,577,401,196.36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10,004,102,477.54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13,770,556,950.49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1,266,154,569.87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1,710,459,524.65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531,805,972.34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46,333,152.71</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30,591,113.99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177,791,908.24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7,918,549.02</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152,878,913.18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35,000,000.00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130,250,000.00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1,221,939,005.60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605,315,635.35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1,729,192,979.73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473,948,788.51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177,017,007.72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848,825,154.85</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47,465,000.00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1,031,580,540.43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1,323,273,943.36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1,256,062,548.15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-717,958,308.01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473,130,431.58</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7C566A"/>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8,352,875,960.81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7,312,138,553.83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131,637,258.30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292,181,671.03</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8,484,513,219.11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7,604,320,224.86</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7,679,576,172.73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8,219,372,082.39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150,326,346.29</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143,693,507.39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22,714,790.21</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7C566A">
            <w:pPr>
              <w:spacing w:line="240" w:lineRule="exact"/>
              <w:jc w:val="right"/>
              <w:rPr>
                <w:rFonts w:ascii="宋体" w:eastAsia="宋体" w:hAnsi="宋体" w:cs="宋体"/>
                <w:sz w:val="18"/>
                <w:szCs w:val="18"/>
              </w:rPr>
            </w:pP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1,658,092,992.86</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699,348,642.52</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9,487,995,511.88</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9,062,414,232.30</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-1,003,482,292.77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-1,458,094,007.44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3,085,305.74</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-827,315.64</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-452,200,725.17</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724,668,633.15</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1,744,810,912.59</w:t>
            </w:r>
          </w:p>
        </w:tc>
      </w:tr>
      <w:tr w:rsidR="007C566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7C566A" w:rsidRDefault="00AB47BA">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1,731,679,832.33</w:t>
            </w:r>
          </w:p>
        </w:tc>
        <w:tc>
          <w:tcPr>
            <w:tcW w:w="3213" w:type="dxa"/>
            <w:tcBorders>
              <w:top w:val="single" w:sz="2" w:space="0" w:color="auto"/>
              <w:left w:val="single" w:sz="2" w:space="0" w:color="auto"/>
              <w:bottom w:val="single" w:sz="2" w:space="0" w:color="auto"/>
              <w:right w:val="single" w:sz="2" w:space="0" w:color="auto"/>
            </w:tcBorders>
            <w:vAlign w:val="center"/>
          </w:tcPr>
          <w:p w:rsidR="007C566A" w:rsidRDefault="00AB47BA">
            <w:pPr>
              <w:spacing w:line="240" w:lineRule="exact"/>
              <w:jc w:val="right"/>
              <w:rPr>
                <w:rFonts w:ascii="宋体" w:eastAsia="宋体" w:hAnsi="宋体" w:cs="宋体"/>
                <w:sz w:val="18"/>
                <w:szCs w:val="18"/>
              </w:rPr>
            </w:pPr>
            <w:r>
              <w:rPr>
                <w:rFonts w:ascii="宋体" w:eastAsia="宋体" w:hAnsi="宋体" w:cs="宋体"/>
                <w:sz w:val="18"/>
                <w:szCs w:val="18"/>
              </w:rPr>
              <w:t>2,469,479,545.74</w:t>
            </w:r>
          </w:p>
        </w:tc>
      </w:tr>
    </w:tbl>
    <w:p w:rsidR="007C566A" w:rsidRDefault="00AB47BA">
      <w:pPr>
        <w:pStyle w:val="2"/>
        <w:spacing w:before="300" w:after="300" w:line="280" w:lineRule="exact"/>
        <w:rPr>
          <w:rFonts w:ascii="宋体" w:eastAsia="宋体" w:hAnsi="宋体" w:cs="宋体"/>
          <w:b/>
          <w:bCs/>
          <w:sz w:val="25"/>
          <w:szCs w:val="25"/>
        </w:rPr>
      </w:pPr>
      <w:bookmarkStart w:id="14" w:name="_Toc988902"/>
      <w:r>
        <w:rPr>
          <w:rFonts w:ascii="宋体" w:eastAsia="宋体" w:hAnsi="宋体" w:cs="宋体"/>
          <w:b/>
          <w:bCs/>
          <w:sz w:val="25"/>
          <w:szCs w:val="25"/>
        </w:rPr>
        <w:t>（二） 2024年起首次执行新会计准则调整首次执行当年年初财务报表相关项目情况</w:t>
      </w:r>
      <w:bookmarkEnd w:id="14"/>
    </w:p>
    <w:p w:rsidR="007C566A" w:rsidRDefault="00AB47BA">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7C566A" w:rsidRDefault="00AB47BA">
      <w:pPr>
        <w:pStyle w:val="2"/>
        <w:spacing w:before="300" w:after="300" w:line="280" w:lineRule="exact"/>
        <w:rPr>
          <w:rFonts w:ascii="宋体" w:eastAsia="宋体" w:hAnsi="宋体" w:cs="宋体"/>
          <w:b/>
          <w:bCs/>
          <w:sz w:val="25"/>
          <w:szCs w:val="25"/>
        </w:rPr>
      </w:pPr>
      <w:bookmarkStart w:id="15" w:name="_Toc988903"/>
      <w:r>
        <w:rPr>
          <w:rFonts w:ascii="宋体" w:eastAsia="宋体" w:hAnsi="宋体" w:cs="宋体"/>
          <w:b/>
          <w:bCs/>
          <w:sz w:val="25"/>
          <w:szCs w:val="25"/>
        </w:rPr>
        <w:t>（三） 审计报告</w:t>
      </w:r>
      <w:bookmarkEnd w:id="15"/>
    </w:p>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第三季度报告是否经过审计</w:t>
      </w:r>
    </w:p>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7C566A" w:rsidRDefault="00AB47BA">
      <w:pPr>
        <w:spacing w:before="40" w:after="40" w:line="240" w:lineRule="exact"/>
        <w:rPr>
          <w:rFonts w:ascii="宋体" w:eastAsia="宋体" w:hAnsi="宋体" w:cs="宋体"/>
          <w:sz w:val="18"/>
          <w:szCs w:val="18"/>
        </w:rPr>
      </w:pPr>
      <w:r>
        <w:rPr>
          <w:rFonts w:ascii="宋体" w:eastAsia="宋体" w:hAnsi="宋体" w:cs="宋体"/>
          <w:sz w:val="18"/>
          <w:szCs w:val="18"/>
        </w:rPr>
        <w:t>公司第三季度报告未经审计。</w:t>
      </w:r>
    </w:p>
    <w:p w:rsidR="007C566A" w:rsidRDefault="00AB47BA" w:rsidP="00D41E51">
      <w:pPr>
        <w:spacing w:line="360" w:lineRule="auto"/>
        <w:ind w:firstLineChars="200" w:firstLine="360"/>
        <w:jc w:val="right"/>
        <w:rPr>
          <w:rFonts w:ascii="宋体" w:eastAsia="宋体" w:hAnsi="宋体" w:cs="宋体"/>
          <w:sz w:val="18"/>
          <w:szCs w:val="18"/>
        </w:rPr>
      </w:pPr>
      <w:r>
        <w:rPr>
          <w:rFonts w:ascii="宋体" w:eastAsia="宋体" w:hAnsi="宋体" w:cs="宋体"/>
          <w:sz w:val="18"/>
          <w:szCs w:val="18"/>
        </w:rPr>
        <w:t>华孚时尚股份有限公司</w:t>
      </w:r>
      <w:r w:rsidR="00D41E51">
        <w:rPr>
          <w:rFonts w:ascii="宋体" w:eastAsia="宋体" w:hAnsi="宋体" w:cs="宋体"/>
          <w:sz w:val="18"/>
          <w:szCs w:val="18"/>
        </w:rPr>
        <w:t>董事会</w:t>
      </w:r>
    </w:p>
    <w:p w:rsidR="007C566A" w:rsidRDefault="00AB47BA" w:rsidP="00D41E51">
      <w:pPr>
        <w:spacing w:line="360" w:lineRule="auto"/>
        <w:ind w:firstLineChars="200" w:firstLine="360"/>
        <w:jc w:val="right"/>
        <w:rPr>
          <w:rFonts w:ascii="宋体" w:eastAsia="宋体" w:hAnsi="宋体" w:cs="宋体"/>
          <w:sz w:val="18"/>
          <w:szCs w:val="18"/>
        </w:rPr>
      </w:pPr>
      <w:r>
        <w:rPr>
          <w:rFonts w:ascii="宋体" w:eastAsia="宋体" w:hAnsi="宋体" w:cs="宋体"/>
          <w:sz w:val="18"/>
          <w:szCs w:val="18"/>
        </w:rPr>
        <w:t>2024年10月30日</w:t>
      </w:r>
    </w:p>
    <w:sectPr w:rsidR="007C566A">
      <w:headerReference w:type="default" r:id="rId7"/>
      <w:footerReference w:type="default" r:id="rId8"/>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90F" w:rsidRDefault="00A5690F">
      <w:r>
        <w:separator/>
      </w:r>
    </w:p>
  </w:endnote>
  <w:endnote w:type="continuationSeparator" w:id="0">
    <w:p w:rsidR="00A5690F" w:rsidRDefault="00A5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90F" w:rsidRDefault="00A5690F">
    <w:pPr>
      <w:pStyle w:val="fotter1"/>
    </w:pPr>
    <w:r>
      <w:fldChar w:fldCharType="begin"/>
    </w:r>
    <w:r>
      <w:instrText>PAGE   \* MERGEFORMAT</w:instrText>
    </w:r>
    <w:r>
      <w:fldChar w:fldCharType="separate"/>
    </w:r>
    <w:r w:rsidR="00AF547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90F" w:rsidRDefault="00A5690F">
      <w:r>
        <w:separator/>
      </w:r>
    </w:p>
  </w:footnote>
  <w:footnote w:type="continuationSeparator" w:id="0">
    <w:p w:rsidR="00A5690F" w:rsidRDefault="00A56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90F" w:rsidRDefault="00A5690F">
    <w:pPr>
      <w:pStyle w:val="Header1"/>
      <w:pBdr>
        <w:bottom w:val="single" w:sz="6" w:space="1" w:color="auto"/>
      </w:pBdr>
    </w:pPr>
    <w:r>
      <w:t>华孚时尚股份有限公司2024年第三季度报告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
  <w:rsids>
    <w:rsidRoot w:val="007C566A"/>
    <w:rsid w:val="003609C3"/>
    <w:rsid w:val="007C566A"/>
    <w:rsid w:val="00A5690F"/>
    <w:rsid w:val="00AB47BA"/>
    <w:rsid w:val="00AF5471"/>
    <w:rsid w:val="00D048EB"/>
    <w:rsid w:val="00D41E51"/>
    <w:rsid w:val="00E53EDD"/>
    <w:rsid w:val="00EC6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paragraph" w:styleId="a4">
    <w:name w:val="header"/>
    <w:basedOn w:val="a"/>
    <w:link w:val="Char"/>
    <w:uiPriority w:val="99"/>
    <w:unhideWhenUsed/>
    <w:rsid w:val="00AB47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7BA"/>
    <w:rPr>
      <w:sz w:val="18"/>
      <w:szCs w:val="18"/>
    </w:rPr>
  </w:style>
  <w:style w:type="paragraph" w:styleId="a5">
    <w:name w:val="footer"/>
    <w:basedOn w:val="a"/>
    <w:link w:val="Char0"/>
    <w:uiPriority w:val="99"/>
    <w:unhideWhenUsed/>
    <w:rsid w:val="00AB47BA"/>
    <w:pPr>
      <w:tabs>
        <w:tab w:val="center" w:pos="4153"/>
        <w:tab w:val="right" w:pos="8306"/>
      </w:tabs>
      <w:snapToGrid w:val="0"/>
    </w:pPr>
    <w:rPr>
      <w:sz w:val="18"/>
      <w:szCs w:val="18"/>
    </w:rPr>
  </w:style>
  <w:style w:type="character" w:customStyle="1" w:styleId="Char0">
    <w:name w:val="页脚 Char"/>
    <w:basedOn w:val="a0"/>
    <w:link w:val="a5"/>
    <w:uiPriority w:val="99"/>
    <w:rsid w:val="00AB47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paragraph" w:styleId="a4">
    <w:name w:val="header"/>
    <w:basedOn w:val="a"/>
    <w:link w:val="Char"/>
    <w:uiPriority w:val="99"/>
    <w:unhideWhenUsed/>
    <w:rsid w:val="00AB47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7BA"/>
    <w:rPr>
      <w:sz w:val="18"/>
      <w:szCs w:val="18"/>
    </w:rPr>
  </w:style>
  <w:style w:type="paragraph" w:styleId="a5">
    <w:name w:val="footer"/>
    <w:basedOn w:val="a"/>
    <w:link w:val="Char0"/>
    <w:uiPriority w:val="99"/>
    <w:unhideWhenUsed/>
    <w:rsid w:val="00AB47BA"/>
    <w:pPr>
      <w:tabs>
        <w:tab w:val="center" w:pos="4153"/>
        <w:tab w:val="right" w:pos="8306"/>
      </w:tabs>
      <w:snapToGrid w:val="0"/>
    </w:pPr>
    <w:rPr>
      <w:sz w:val="18"/>
      <w:szCs w:val="18"/>
    </w:rPr>
  </w:style>
  <w:style w:type="character" w:customStyle="1" w:styleId="Char0">
    <w:name w:val="页脚 Char"/>
    <w:basedOn w:val="a0"/>
    <w:link w:val="a5"/>
    <w:uiPriority w:val="99"/>
    <w:rsid w:val="00AB47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699241">
      <w:bodyDiv w:val="1"/>
      <w:marLeft w:val="0"/>
      <w:marRight w:val="0"/>
      <w:marTop w:val="0"/>
      <w:marBottom w:val="0"/>
      <w:divBdr>
        <w:top w:val="none" w:sz="0" w:space="0" w:color="auto"/>
        <w:left w:val="none" w:sz="0" w:space="0" w:color="auto"/>
        <w:bottom w:val="none" w:sz="0" w:space="0" w:color="auto"/>
        <w:right w:val="none" w:sz="0" w:space="0" w:color="auto"/>
      </w:divBdr>
    </w:div>
    <w:div w:id="1773356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10</Pages>
  <Words>1733</Words>
  <Characters>9879</Characters>
  <Application>Microsoft Office Word</Application>
  <DocSecurity>0</DocSecurity>
  <Lines>82</Lines>
  <Paragraphs>23</Paragraphs>
  <ScaleCrop>false</ScaleCrop>
  <Company>MicroSoft</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孙献</cp:lastModifiedBy>
  <cp:revision>6</cp:revision>
  <dcterms:created xsi:type="dcterms:W3CDTF">2024-10-29T01:31:00Z</dcterms:created>
  <dcterms:modified xsi:type="dcterms:W3CDTF">2024-10-30T08:31:00Z</dcterms:modified>
</cp:coreProperties>
</file>