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黑体" w:hAnsi="黑体" w:eastAsia="黑体" w:cs="Times New Roman"/>
          <w:szCs w:val="24"/>
          <w:lang w:eastAsia="zh-CN"/>
        </w:rPr>
      </w:pPr>
      <w:r>
        <w:rPr>
          <w:rFonts w:ascii="黑体" w:hAnsi="黑体" w:eastAsia="黑体" w:cs="Times New Roman"/>
          <w:szCs w:val="24"/>
        </w:rPr>
        <w:t xml:space="preserve">证券代码：002042       </w:t>
      </w:r>
      <w:r>
        <w:rPr>
          <w:rFonts w:hint="eastAsia" w:ascii="黑体" w:hAnsi="黑体" w:eastAsia="黑体" w:cs="Times New Roman"/>
          <w:szCs w:val="24"/>
        </w:rPr>
        <w:t xml:space="preserve">  </w:t>
      </w:r>
      <w:r>
        <w:rPr>
          <w:rFonts w:ascii="黑体" w:hAnsi="黑体" w:eastAsia="黑体" w:cs="Times New Roman"/>
          <w:szCs w:val="24"/>
        </w:rPr>
        <w:t xml:space="preserve">      证券简称：华孚时尚         </w:t>
      </w:r>
      <w:r>
        <w:rPr>
          <w:rFonts w:hint="eastAsia" w:ascii="黑体" w:hAnsi="黑体" w:eastAsia="黑体" w:cs="Times New Roman"/>
          <w:szCs w:val="24"/>
        </w:rPr>
        <w:t xml:space="preserve">  </w:t>
      </w:r>
      <w:r>
        <w:rPr>
          <w:rFonts w:ascii="黑体" w:hAnsi="黑体" w:eastAsia="黑体" w:cs="Times New Roman"/>
          <w:szCs w:val="24"/>
        </w:rPr>
        <w:t xml:space="preserve">   公告编号：</w:t>
      </w:r>
      <w:r>
        <w:rPr>
          <w:rFonts w:hint="eastAsia" w:ascii="黑体" w:hAnsi="黑体" w:eastAsia="黑体" w:cs="Times New Roman"/>
          <w:szCs w:val="24"/>
        </w:rPr>
        <w:t>2023</w:t>
      </w:r>
      <w:r>
        <w:rPr>
          <w:rFonts w:ascii="黑体" w:hAnsi="黑体" w:eastAsia="黑体" w:cs="Times New Roman"/>
          <w:szCs w:val="24"/>
        </w:rPr>
        <w:t>-</w:t>
      </w:r>
      <w:r>
        <w:rPr>
          <w:rFonts w:hint="eastAsia" w:ascii="黑体" w:hAnsi="黑体" w:eastAsia="黑体" w:cs="Times New Roman"/>
          <w:szCs w:val="24"/>
        </w:rPr>
        <w:t>0</w:t>
      </w:r>
      <w:r>
        <w:rPr>
          <w:rFonts w:hint="eastAsia" w:ascii="黑体" w:hAnsi="黑体" w:eastAsia="黑体" w:cs="Times New Roman"/>
          <w:szCs w:val="24"/>
          <w:lang w:val="en-US" w:eastAsia="zh-CN"/>
        </w:rPr>
        <w:t>9</w:t>
      </w:r>
    </w:p>
    <w:p>
      <w:pPr>
        <w:spacing w:line="200" w:lineRule="exact"/>
        <w:ind w:firstLine="422" w:firstLineChars="200"/>
        <w:jc w:val="center"/>
        <w:rPr>
          <w:rFonts w:ascii="Times New Roman" w:hAnsi="Times New Roman" w:cs="Times New Roman"/>
          <w:b/>
          <w:szCs w:val="24"/>
        </w:rPr>
      </w:pPr>
    </w:p>
    <w:p>
      <w:pPr>
        <w:spacing w:before="156" w:beforeLines="50" w:after="156" w:afterLines="50" w:line="500" w:lineRule="exact"/>
        <w:jc w:val="center"/>
        <w:rPr>
          <w:rFonts w:ascii="Times New Roman" w:hAnsi="Times New Roman" w:cs="Times New Roman"/>
          <w:b/>
          <w:sz w:val="36"/>
          <w:szCs w:val="24"/>
        </w:rPr>
      </w:pPr>
      <w:r>
        <w:rPr>
          <w:rFonts w:ascii="Times New Roman" w:hAnsi="Times New Roman" w:cs="Times New Roman"/>
          <w:b/>
          <w:sz w:val="36"/>
          <w:szCs w:val="24"/>
        </w:rPr>
        <w:t>华孚时尚股份有限公司</w:t>
      </w:r>
    </w:p>
    <w:p>
      <w:pPr>
        <w:spacing w:before="156" w:beforeLines="50" w:after="156" w:afterLines="50" w:line="500" w:lineRule="exact"/>
        <w:jc w:val="center"/>
        <w:rPr>
          <w:rFonts w:hint="eastAsia" w:ascii="Times New Roman" w:hAnsi="Times New Roman" w:cs="Times New Roman" w:eastAsiaTheme="minorEastAsia"/>
          <w:b/>
          <w:sz w:val="36"/>
          <w:szCs w:val="24"/>
          <w:lang w:eastAsia="zh-CN"/>
        </w:rPr>
      </w:pPr>
      <w:r>
        <w:rPr>
          <w:rFonts w:hint="eastAsia" w:ascii="Times New Roman" w:hAnsi="Times New Roman" w:cs="Times New Roman"/>
          <w:b/>
          <w:sz w:val="36"/>
          <w:szCs w:val="24"/>
          <w:lang w:val="en-US" w:eastAsia="zh-CN"/>
        </w:rPr>
        <w:t>2023年回购公司股份</w:t>
      </w:r>
      <w:bookmarkStart w:id="0" w:name="_GoBack"/>
      <w:bookmarkEnd w:id="0"/>
      <w:r>
        <w:rPr>
          <w:rFonts w:hint="eastAsia" w:ascii="Times New Roman" w:hAnsi="Times New Roman" w:cs="Times New Roman"/>
          <w:b/>
          <w:sz w:val="36"/>
          <w:szCs w:val="24"/>
          <w:lang w:val="en-US" w:eastAsia="zh-CN"/>
        </w:rPr>
        <w:t>方案之</w:t>
      </w:r>
      <w:r>
        <w:rPr>
          <w:rFonts w:hint="eastAsia" w:ascii="Times New Roman" w:hAnsi="Times New Roman" w:cs="Times New Roman"/>
          <w:b/>
          <w:sz w:val="36"/>
          <w:szCs w:val="24"/>
          <w:lang w:eastAsia="zh-CN"/>
        </w:rPr>
        <w:t>回购报告书</w:t>
      </w:r>
    </w:p>
    <w:p>
      <w:pPr>
        <w:spacing w:before="312" w:beforeLines="100" w:line="500" w:lineRule="exact"/>
        <w:jc w:val="left"/>
        <w:rPr>
          <w:rFonts w:ascii="Times New Roman" w:hAnsi="Times New Roman" w:eastAsia="楷体" w:cs="Times New Roman"/>
          <w:kern w:val="0"/>
          <w:sz w:val="24"/>
          <w:szCs w:val="24"/>
        </w:rPr>
      </w:pPr>
      <w:r>
        <w:rPr>
          <w:rFonts w:ascii="Times New Roman" w:hAnsi="Times New Roman" w:eastAsia="楷体" w:cs="Times New Roman"/>
          <w:kern w:val="0"/>
          <w:szCs w:val="21"/>
        </w:rPr>
        <w:t xml:space="preserve">    </w:t>
      </w:r>
      <w:r>
        <w:rPr>
          <w:rFonts w:ascii="Times New Roman" w:hAnsi="Times New Roman" w:eastAsia="楷体" w:cs="Times New Roman"/>
          <w:kern w:val="0"/>
          <w:sz w:val="24"/>
          <w:szCs w:val="24"/>
        </w:rPr>
        <w:t xml:space="preserve"> 本公司及董事会全体成员保证本公告内容的真实、准确和完整，没有虚假记载、误导性陈述或重大遗漏。</w:t>
      </w:r>
    </w:p>
    <w:p>
      <w:pPr>
        <w:spacing w:line="500" w:lineRule="exact"/>
        <w:ind w:firstLine="482" w:firstLineChars="200"/>
        <w:jc w:val="left"/>
        <w:rPr>
          <w:rFonts w:ascii="Times New Roman" w:hAnsi="Times New Roman" w:cs="Times New Roman"/>
          <w:b/>
          <w:kern w:val="0"/>
          <w:sz w:val="24"/>
          <w:szCs w:val="24"/>
        </w:rPr>
      </w:pPr>
    </w:p>
    <w:p>
      <w:pPr>
        <w:spacing w:line="500" w:lineRule="exact"/>
        <w:ind w:firstLine="482" w:firstLineChars="200"/>
        <w:jc w:val="left"/>
        <w:rPr>
          <w:rFonts w:ascii="Times New Roman" w:hAnsi="Times New Roman" w:cs="Times New Roman"/>
          <w:b/>
          <w:kern w:val="0"/>
          <w:sz w:val="24"/>
          <w:szCs w:val="24"/>
        </w:rPr>
      </w:pPr>
      <w:r>
        <w:rPr>
          <w:rFonts w:ascii="Times New Roman" w:hAnsi="Times New Roman" w:cs="Times New Roman"/>
          <w:b/>
          <w:kern w:val="0"/>
          <w:sz w:val="24"/>
          <w:szCs w:val="24"/>
        </w:rPr>
        <w:t>重要内容提示：</w:t>
      </w:r>
    </w:p>
    <w:p>
      <w:pPr>
        <w:wordWrap w:val="0"/>
        <w:spacing w:line="500" w:lineRule="exact"/>
        <w:ind w:firstLine="480" w:firstLineChars="200"/>
        <w:rPr>
          <w:rFonts w:cs="宋体" w:asciiTheme="minorEastAsia" w:hAnsiTheme="minorEastAsia"/>
          <w:kern w:val="0"/>
          <w:sz w:val="24"/>
          <w:szCs w:val="24"/>
        </w:rPr>
      </w:pPr>
      <w:r>
        <w:rPr>
          <w:rFonts w:cs="宋体" w:asciiTheme="minorEastAsia" w:hAnsiTheme="minorEastAsia"/>
          <w:kern w:val="0"/>
          <w:sz w:val="24"/>
          <w:szCs w:val="24"/>
        </w:rPr>
        <w:t>1</w:t>
      </w:r>
      <w:r>
        <w:rPr>
          <w:rFonts w:hint="eastAsia" w:cs="宋体" w:asciiTheme="minorEastAsia" w:hAnsiTheme="minorEastAsia"/>
          <w:kern w:val="0"/>
          <w:sz w:val="24"/>
          <w:szCs w:val="24"/>
        </w:rPr>
        <w:t>、华孚时尚股份有限公司（以下简称</w:t>
      </w:r>
      <w:r>
        <w:rPr>
          <w:rFonts w:cs="宋体" w:asciiTheme="minorEastAsia" w:hAnsiTheme="minorEastAsia"/>
          <w:kern w:val="0"/>
          <w:sz w:val="24"/>
          <w:szCs w:val="24"/>
        </w:rPr>
        <w:t>“</w:t>
      </w:r>
      <w:r>
        <w:rPr>
          <w:rFonts w:hint="eastAsia" w:cs="宋体" w:asciiTheme="minorEastAsia" w:hAnsiTheme="minorEastAsia"/>
          <w:kern w:val="0"/>
          <w:sz w:val="24"/>
          <w:szCs w:val="24"/>
        </w:rPr>
        <w:t>公司</w:t>
      </w:r>
      <w:r>
        <w:rPr>
          <w:rFonts w:cs="宋体" w:asciiTheme="minorEastAsia" w:hAnsiTheme="minorEastAsia"/>
          <w:kern w:val="0"/>
          <w:sz w:val="24"/>
          <w:szCs w:val="24"/>
        </w:rPr>
        <w:t>”</w:t>
      </w:r>
      <w:r>
        <w:rPr>
          <w:rFonts w:hint="eastAsia" w:cs="宋体" w:asciiTheme="minorEastAsia" w:hAnsiTheme="minorEastAsia"/>
          <w:kern w:val="0"/>
          <w:sz w:val="24"/>
          <w:szCs w:val="24"/>
        </w:rPr>
        <w:t>）拟使用自有资金以集中竞价交易方式回购已发行的人民币普通股（A股）股份，回购股份用于维护公司价值及股东权益所必需，公司本次回购的股份后续将按有关规定予以全部出售。回购总金额为不低于人民币10,000万元，不超过人民币20,000万元，回购价格不超过4.60元</w:t>
      </w:r>
      <w:r>
        <w:rPr>
          <w:rFonts w:cs="宋体" w:asciiTheme="minorEastAsia" w:hAnsiTheme="minorEastAsia"/>
          <w:kern w:val="0"/>
          <w:sz w:val="24"/>
          <w:szCs w:val="24"/>
        </w:rPr>
        <w:t>/</w:t>
      </w:r>
      <w:r>
        <w:rPr>
          <w:rFonts w:hint="eastAsia" w:cs="宋体" w:asciiTheme="minorEastAsia" w:hAnsiTheme="minorEastAsia"/>
          <w:kern w:val="0"/>
          <w:sz w:val="24"/>
          <w:szCs w:val="24"/>
        </w:rPr>
        <w:t>股，按回购资金总额下限人民币10,000万元和回购股份价格上限4.60元/股测算，预计回购股份数量约为21,739,130股，约占目前公司总股本的1.28%；按回购总金额上限人民币20,000万元和回购股份价格上限4.60元/股测算，预计回购股份数量约为43,478,260股，约占目前公司总股本的2.56%。（具体回购金额及回购数量以回购期满时实际使用的资金和回购的股份数量为准）。回购股份的实施期限为自董事会审议通过本次回购股份方案之日起不超过三个月（以下简称</w:t>
      </w:r>
      <w:r>
        <w:rPr>
          <w:rFonts w:cs="宋体" w:asciiTheme="minorEastAsia" w:hAnsiTheme="minorEastAsia"/>
          <w:kern w:val="0"/>
          <w:sz w:val="24"/>
          <w:szCs w:val="24"/>
        </w:rPr>
        <w:t>“</w:t>
      </w:r>
      <w:r>
        <w:rPr>
          <w:rFonts w:hint="eastAsia" w:cs="宋体" w:asciiTheme="minorEastAsia" w:hAnsiTheme="minorEastAsia"/>
          <w:kern w:val="0"/>
          <w:sz w:val="24"/>
          <w:szCs w:val="24"/>
        </w:rPr>
        <w:t>本次回购</w:t>
      </w:r>
      <w:r>
        <w:rPr>
          <w:rFonts w:cs="宋体" w:asciiTheme="minorEastAsia" w:hAnsiTheme="minorEastAsia"/>
          <w:kern w:val="0"/>
          <w:sz w:val="24"/>
          <w:szCs w:val="24"/>
        </w:rPr>
        <w:t>”</w:t>
      </w:r>
      <w:r>
        <w:rPr>
          <w:rFonts w:hint="eastAsia" w:cs="宋体" w:asciiTheme="minorEastAsia" w:hAnsiTheme="minorEastAsia"/>
          <w:kern w:val="0"/>
          <w:sz w:val="24"/>
          <w:szCs w:val="24"/>
        </w:rPr>
        <w:t>）。</w:t>
      </w:r>
    </w:p>
    <w:p>
      <w:pPr>
        <w:wordWrap w:val="0"/>
        <w:spacing w:line="500" w:lineRule="exact"/>
        <w:ind w:firstLine="480" w:firstLineChars="200"/>
        <w:rPr>
          <w:rFonts w:hint="eastAsia" w:cs="宋体" w:asciiTheme="minorEastAsia" w:hAnsiTheme="minorEastAsia"/>
          <w:kern w:val="0"/>
          <w:sz w:val="24"/>
          <w:szCs w:val="24"/>
        </w:rPr>
      </w:pPr>
      <w:r>
        <w:rPr>
          <w:rFonts w:hint="eastAsia" w:cs="宋体" w:asciiTheme="minorEastAsia" w:hAnsiTheme="minorEastAsia"/>
          <w:kern w:val="0"/>
          <w:sz w:val="24"/>
          <w:szCs w:val="24"/>
          <w:lang w:val="en-US" w:eastAsia="zh-CN"/>
        </w:rPr>
        <w:t>2、</w:t>
      </w:r>
      <w:r>
        <w:rPr>
          <w:rFonts w:hint="eastAsia" w:cs="宋体" w:asciiTheme="minorEastAsia" w:hAnsiTheme="minorEastAsia"/>
          <w:kern w:val="0"/>
          <w:sz w:val="24"/>
          <w:szCs w:val="24"/>
          <w:lang w:eastAsia="zh-CN"/>
        </w:rPr>
        <w:t>风险提示</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1</w:t>
      </w:r>
      <w:r>
        <w:rPr>
          <w:rFonts w:hint="eastAsia" w:cs="Times New Roman" w:asciiTheme="minorEastAsia" w:hAnsiTheme="minorEastAsia"/>
          <w:kern w:val="0"/>
          <w:sz w:val="24"/>
          <w:szCs w:val="24"/>
          <w:lang w:eastAsia="zh-CN"/>
        </w:rPr>
        <w:t>）</w:t>
      </w:r>
      <w:r>
        <w:rPr>
          <w:rFonts w:cs="Times New Roman" w:asciiTheme="minorEastAsia" w:hAnsiTheme="minorEastAsia"/>
          <w:kern w:val="0"/>
          <w:sz w:val="24"/>
          <w:szCs w:val="24"/>
        </w:rPr>
        <w:t>公司股票价格持续超出回购方案披露的价格上限，导致回购方案无法实施的风险。</w:t>
      </w:r>
    </w:p>
    <w:p>
      <w:pPr>
        <w:autoSpaceDE w:val="0"/>
        <w:autoSpaceDN w:val="0"/>
        <w:adjustRightInd w:val="0"/>
        <w:spacing w:line="500" w:lineRule="exact"/>
        <w:ind w:firstLine="480" w:firstLineChars="200"/>
        <w:jc w:val="left"/>
        <w:rPr>
          <w:rFonts w:hint="eastAsia" w:cs="Times New Roman" w:asciiTheme="minorEastAsia" w:hAnsiTheme="minorEastAsia" w:eastAsiaTheme="minorEastAsia"/>
          <w:kern w:val="0"/>
          <w:sz w:val="24"/>
          <w:szCs w:val="24"/>
          <w:lang w:eastAsia="zh-CN"/>
        </w:rPr>
      </w:pPr>
      <w:r>
        <w:rPr>
          <w:rFonts w:hint="eastAsia" w:cs="Times New Roman" w:asciiTheme="minorEastAsia" w:hAnsiTheme="minorEastAsia"/>
          <w:kern w:val="0"/>
          <w:sz w:val="24"/>
          <w:szCs w:val="24"/>
        </w:rPr>
        <w:t>2</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本次回购存在因回购股份所需资金未能筹措到位，导致回购方案无法实施的风险</w:t>
      </w:r>
      <w:r>
        <w:rPr>
          <w:rFonts w:hint="eastAsia" w:cs="Times New Roman" w:asciiTheme="minorEastAsia" w:hAnsiTheme="minorEastAsia"/>
          <w:kern w:val="0"/>
          <w:sz w:val="24"/>
          <w:szCs w:val="24"/>
          <w:lang w:eastAsia="zh-CN"/>
        </w:rPr>
        <w:t>。</w:t>
      </w:r>
    </w:p>
    <w:p>
      <w:pPr>
        <w:wordWrap w:val="0"/>
        <w:autoSpaceDE w:val="0"/>
        <w:autoSpaceDN w:val="0"/>
        <w:adjustRightInd w:val="0"/>
        <w:spacing w:line="500" w:lineRule="exact"/>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w:t>
      </w:r>
      <w:r>
        <w:rPr>
          <w:rFonts w:hint="eastAsia" w:cs="宋体" w:asciiTheme="minorEastAsia" w:hAnsiTheme="minorEastAsia"/>
          <w:kern w:val="0"/>
          <w:sz w:val="24"/>
          <w:szCs w:val="24"/>
          <w:lang w:eastAsia="zh-CN"/>
        </w:rPr>
        <w:t>）</w:t>
      </w:r>
      <w:r>
        <w:rPr>
          <w:rFonts w:hint="eastAsia" w:cs="宋体" w:asciiTheme="minorEastAsia" w:hAnsiTheme="minorEastAsia"/>
          <w:kern w:val="0"/>
          <w:sz w:val="24"/>
          <w:szCs w:val="24"/>
        </w:rPr>
        <w:t>本次回购股份按照有关规定将采用集中竞价交易方式出售，若因相关情况变化，公司未能实施上述用途，存在变更用途的风险。如未使用部分依法注销，存在债权人要求公司提前清偿债务或要求公司提供相应担保的风险。</w:t>
      </w:r>
    </w:p>
    <w:p>
      <w:pPr>
        <w:wordWrap w:val="0"/>
        <w:autoSpaceDE w:val="0"/>
        <w:autoSpaceDN w:val="0"/>
        <w:adjustRightInd w:val="0"/>
        <w:spacing w:line="500" w:lineRule="exact"/>
        <w:ind w:firstLine="480" w:firstLineChars="200"/>
        <w:rPr>
          <w:rFonts w:cs="Times New Roman" w:asciiTheme="minorEastAsia" w:hAnsiTheme="minorEastAsia"/>
          <w:kern w:val="0"/>
          <w:sz w:val="24"/>
          <w:szCs w:val="24"/>
        </w:rPr>
      </w:pPr>
      <w:r>
        <w:rPr>
          <w:rFonts w:hint="eastAsia" w:cs="宋体" w:asciiTheme="minorEastAsia" w:hAnsiTheme="minorEastAsia"/>
          <w:kern w:val="0"/>
          <w:sz w:val="24"/>
          <w:szCs w:val="24"/>
        </w:rPr>
        <w:t>4</w:t>
      </w:r>
      <w:r>
        <w:rPr>
          <w:rFonts w:hint="eastAsia" w:cs="宋体" w:asciiTheme="minorEastAsia" w:hAnsiTheme="minorEastAsia"/>
          <w:kern w:val="0"/>
          <w:sz w:val="24"/>
          <w:szCs w:val="24"/>
          <w:lang w:eastAsia="zh-CN"/>
        </w:rPr>
        <w:t>）</w:t>
      </w:r>
      <w:r>
        <w:rPr>
          <w:rFonts w:hint="eastAsia" w:cs="宋体" w:asciiTheme="minorEastAsia" w:hAnsiTheme="minorEastAsia"/>
          <w:kern w:val="0"/>
          <w:sz w:val="24"/>
          <w:szCs w:val="24"/>
        </w:rPr>
        <w:t>可能存在因公司生产经营、财务状况、外部客观情况发生重大变化等原因，根据规则变更或终止回购方案的风险。</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如出现上述情况导致回购计划无法实施，公司将及时披露相应进展公告。请投资者注意风险。</w:t>
      </w:r>
    </w:p>
    <w:p>
      <w:pPr>
        <w:autoSpaceDE w:val="0"/>
        <w:autoSpaceDN w:val="0"/>
        <w:adjustRightInd w:val="0"/>
        <w:spacing w:line="500" w:lineRule="exact"/>
        <w:ind w:firstLine="480" w:firstLineChars="200"/>
        <w:jc w:val="left"/>
        <w:rPr>
          <w:rFonts w:hint="eastAsia" w:cs="Times New Roman" w:asciiTheme="minorEastAsia" w:hAnsiTheme="minorEastAsia"/>
          <w:kern w:val="0"/>
          <w:sz w:val="24"/>
          <w:szCs w:val="24"/>
          <w:lang w:val="en-US" w:eastAsia="zh-CN"/>
        </w:rPr>
      </w:pPr>
      <w:r>
        <w:rPr>
          <w:rFonts w:hint="eastAsia" w:cs="Times New Roman" w:asciiTheme="minorEastAsia" w:hAnsiTheme="minorEastAsia"/>
          <w:kern w:val="0"/>
          <w:sz w:val="24"/>
          <w:szCs w:val="24"/>
          <w:lang w:val="en-US" w:eastAsia="zh-CN"/>
        </w:rPr>
        <w:t>3、</w:t>
      </w:r>
      <w:r>
        <w:rPr>
          <w:rFonts w:cs="Times New Roman" w:asciiTheme="minorEastAsia" w:hAnsiTheme="minorEastAsia"/>
          <w:kern w:val="0"/>
          <w:sz w:val="24"/>
          <w:szCs w:val="24"/>
        </w:rPr>
        <w:t>公司已在中国证券登记结算有限责任公司深圳分公司开立回购专用证券 账户。</w:t>
      </w:r>
    </w:p>
    <w:p>
      <w:pPr>
        <w:wordWrap w:val="0"/>
        <w:autoSpaceDE w:val="0"/>
        <w:autoSpaceDN w:val="0"/>
        <w:adjustRightInd w:val="0"/>
        <w:spacing w:line="500" w:lineRule="exact"/>
        <w:ind w:firstLine="480" w:firstLineChars="200"/>
        <w:rPr>
          <w:rFonts w:cs="宋体" w:asciiTheme="minorEastAsia" w:hAnsiTheme="minorEastAsia"/>
          <w:kern w:val="0"/>
          <w:sz w:val="24"/>
          <w:szCs w:val="24"/>
          <w:highlight w:val="none"/>
        </w:rPr>
      </w:pPr>
      <w:r>
        <w:rPr>
          <w:rFonts w:hint="eastAsia" w:cs="宋体" w:asciiTheme="minorEastAsia" w:hAnsiTheme="minorEastAsia"/>
          <w:kern w:val="0"/>
          <w:sz w:val="24"/>
          <w:szCs w:val="24"/>
          <w:lang w:val="en-US" w:eastAsia="zh-CN"/>
        </w:rPr>
        <w:t>4、</w:t>
      </w:r>
      <w:r>
        <w:rPr>
          <w:rFonts w:hint="eastAsia" w:cs="宋体" w:asciiTheme="minorEastAsia" w:hAnsiTheme="minorEastAsia"/>
          <w:kern w:val="0"/>
          <w:sz w:val="24"/>
          <w:szCs w:val="24"/>
        </w:rPr>
        <w:t>根据《中华人民共和国公司法》（以下简称</w:t>
      </w:r>
      <w:r>
        <w:rPr>
          <w:rFonts w:cs="宋体" w:asciiTheme="minorEastAsia" w:hAnsiTheme="minorEastAsia"/>
          <w:kern w:val="0"/>
          <w:sz w:val="24"/>
          <w:szCs w:val="24"/>
        </w:rPr>
        <w:t>“</w:t>
      </w:r>
      <w:r>
        <w:rPr>
          <w:rFonts w:hint="eastAsia" w:cs="宋体" w:asciiTheme="minorEastAsia" w:hAnsiTheme="minorEastAsia"/>
          <w:kern w:val="0"/>
          <w:sz w:val="24"/>
          <w:szCs w:val="24"/>
        </w:rPr>
        <w:t>《公司法》</w:t>
      </w:r>
      <w:r>
        <w:rPr>
          <w:rFonts w:cs="宋体" w:asciiTheme="minorEastAsia" w:hAnsiTheme="minorEastAsia"/>
          <w:kern w:val="0"/>
          <w:sz w:val="24"/>
          <w:szCs w:val="24"/>
        </w:rPr>
        <w:t>”</w:t>
      </w:r>
      <w:r>
        <w:rPr>
          <w:rFonts w:hint="eastAsia" w:cs="宋体" w:asciiTheme="minorEastAsia" w:hAnsiTheme="minorEastAsia"/>
          <w:kern w:val="0"/>
          <w:sz w:val="24"/>
          <w:szCs w:val="24"/>
        </w:rPr>
        <w:t>）、《中华人民共和国证券法》（以下简称</w:t>
      </w:r>
      <w:r>
        <w:rPr>
          <w:rFonts w:cs="宋体" w:asciiTheme="minorEastAsia" w:hAnsiTheme="minorEastAsia"/>
          <w:kern w:val="0"/>
          <w:sz w:val="24"/>
          <w:szCs w:val="24"/>
        </w:rPr>
        <w:t>“</w:t>
      </w:r>
      <w:r>
        <w:rPr>
          <w:rFonts w:hint="eastAsia" w:cs="宋体" w:asciiTheme="minorEastAsia" w:hAnsiTheme="minorEastAsia"/>
          <w:kern w:val="0"/>
          <w:sz w:val="24"/>
          <w:szCs w:val="24"/>
        </w:rPr>
        <w:t>《证券法》</w:t>
      </w:r>
      <w:r>
        <w:rPr>
          <w:rFonts w:cs="宋体" w:asciiTheme="minorEastAsia" w:hAnsiTheme="minorEastAsia"/>
          <w:kern w:val="0"/>
          <w:sz w:val="24"/>
          <w:szCs w:val="24"/>
        </w:rPr>
        <w:t>”</w:t>
      </w:r>
      <w:r>
        <w:rPr>
          <w:rFonts w:hint="eastAsia" w:cs="宋体" w:asciiTheme="minorEastAsia" w:hAnsiTheme="minorEastAsia"/>
          <w:kern w:val="0"/>
          <w:sz w:val="24"/>
          <w:szCs w:val="24"/>
        </w:rPr>
        <w:t>）、《深圳证券交易所股票上市规则》、《深圳证券交易所上市公司自律监管指引第</w:t>
      </w:r>
      <w:r>
        <w:rPr>
          <w:rFonts w:cs="宋体" w:asciiTheme="minorEastAsia" w:hAnsiTheme="minorEastAsia"/>
          <w:kern w:val="0"/>
          <w:sz w:val="24"/>
          <w:szCs w:val="24"/>
        </w:rPr>
        <w:t>9</w:t>
      </w:r>
      <w:r>
        <w:rPr>
          <w:rFonts w:hint="eastAsia" w:cs="宋体" w:asciiTheme="minorEastAsia" w:hAnsiTheme="minorEastAsia"/>
          <w:kern w:val="0"/>
          <w:sz w:val="24"/>
          <w:szCs w:val="24"/>
        </w:rPr>
        <w:t>号</w:t>
      </w:r>
      <w:r>
        <w:rPr>
          <w:rFonts w:cs="宋体" w:asciiTheme="minorEastAsia" w:hAnsiTheme="minorEastAsia"/>
          <w:kern w:val="0"/>
          <w:sz w:val="24"/>
          <w:szCs w:val="24"/>
        </w:rPr>
        <w:t>——</w:t>
      </w:r>
      <w:r>
        <w:rPr>
          <w:rFonts w:hint="eastAsia" w:cs="宋体" w:asciiTheme="minorEastAsia" w:hAnsiTheme="minorEastAsia"/>
          <w:kern w:val="0"/>
          <w:sz w:val="24"/>
          <w:szCs w:val="24"/>
        </w:rPr>
        <w:t>回购股份》（以下简称</w:t>
      </w:r>
      <w:r>
        <w:rPr>
          <w:rFonts w:cs="宋体" w:asciiTheme="minorEastAsia" w:hAnsiTheme="minorEastAsia"/>
          <w:kern w:val="0"/>
          <w:sz w:val="24"/>
          <w:szCs w:val="24"/>
        </w:rPr>
        <w:t>“</w:t>
      </w:r>
      <w:r>
        <w:rPr>
          <w:rFonts w:hint="eastAsia" w:cs="宋体" w:asciiTheme="minorEastAsia" w:hAnsiTheme="minorEastAsia"/>
          <w:kern w:val="0"/>
          <w:sz w:val="24"/>
          <w:szCs w:val="24"/>
        </w:rPr>
        <w:t>《自律监管指引第</w:t>
      </w:r>
      <w:r>
        <w:rPr>
          <w:rFonts w:cs="宋体" w:asciiTheme="minorEastAsia" w:hAnsiTheme="minorEastAsia"/>
          <w:kern w:val="0"/>
          <w:sz w:val="24"/>
          <w:szCs w:val="24"/>
        </w:rPr>
        <w:t>9</w:t>
      </w:r>
      <w:r>
        <w:rPr>
          <w:rFonts w:hint="eastAsia" w:cs="宋体" w:asciiTheme="minorEastAsia" w:hAnsiTheme="minorEastAsia"/>
          <w:kern w:val="0"/>
          <w:sz w:val="24"/>
          <w:szCs w:val="24"/>
        </w:rPr>
        <w:t>号》</w:t>
      </w:r>
      <w:r>
        <w:rPr>
          <w:rFonts w:cs="宋体" w:asciiTheme="minorEastAsia" w:hAnsiTheme="minorEastAsia"/>
          <w:kern w:val="0"/>
          <w:sz w:val="24"/>
          <w:szCs w:val="24"/>
        </w:rPr>
        <w:t>”</w:t>
      </w:r>
      <w:r>
        <w:rPr>
          <w:rFonts w:hint="eastAsia" w:cs="宋体" w:asciiTheme="minorEastAsia" w:hAnsiTheme="minorEastAsia"/>
          <w:kern w:val="0"/>
          <w:sz w:val="24"/>
          <w:szCs w:val="24"/>
        </w:rPr>
        <w:t>）等相关规定，</w:t>
      </w:r>
      <w:r>
        <w:rPr>
          <w:rFonts w:hint="eastAsia" w:cs="宋体" w:asciiTheme="minorEastAsia" w:hAnsiTheme="minorEastAsia"/>
          <w:kern w:val="0"/>
          <w:sz w:val="24"/>
          <w:szCs w:val="24"/>
          <w:highlight w:val="none"/>
        </w:rPr>
        <w:t>公司于2023年</w:t>
      </w:r>
      <w:r>
        <w:rPr>
          <w:rFonts w:cs="宋体" w:asciiTheme="minorEastAsia" w:hAnsiTheme="minorEastAsia"/>
          <w:kern w:val="0"/>
          <w:sz w:val="24"/>
          <w:szCs w:val="24"/>
          <w:highlight w:val="none"/>
        </w:rPr>
        <w:t>3</w:t>
      </w:r>
      <w:r>
        <w:rPr>
          <w:rFonts w:hint="eastAsia" w:cs="宋体" w:asciiTheme="minorEastAsia" w:hAnsiTheme="minorEastAsia"/>
          <w:kern w:val="0"/>
          <w:sz w:val="24"/>
          <w:szCs w:val="24"/>
          <w:highlight w:val="none"/>
        </w:rPr>
        <w:t>月17日召开的第八届董事会2023年第一次临时会议审议通过了《关于</w:t>
      </w:r>
      <w:r>
        <w:rPr>
          <w:rFonts w:hint="eastAsia" w:cs="宋体" w:asciiTheme="minorEastAsia" w:hAnsiTheme="minorEastAsia"/>
          <w:kern w:val="0"/>
          <w:sz w:val="24"/>
          <w:szCs w:val="24"/>
          <w:highlight w:val="none"/>
          <w:lang w:val="en-US" w:eastAsia="zh-CN"/>
        </w:rPr>
        <w:t>2023年</w:t>
      </w:r>
      <w:r>
        <w:rPr>
          <w:rFonts w:hint="eastAsia" w:cs="宋体" w:asciiTheme="minorEastAsia" w:hAnsiTheme="minorEastAsia"/>
          <w:kern w:val="0"/>
          <w:sz w:val="24"/>
          <w:szCs w:val="24"/>
          <w:highlight w:val="none"/>
        </w:rPr>
        <w:t>回购公司股份方案的议案》，具体情况如下：</w:t>
      </w:r>
    </w:p>
    <w:p>
      <w:pPr>
        <w:spacing w:line="500" w:lineRule="exact"/>
        <w:ind w:firstLine="482" w:firstLineChars="200"/>
        <w:jc w:val="left"/>
        <w:rPr>
          <w:rFonts w:cs="Times New Roman" w:asciiTheme="minorEastAsia" w:hAnsiTheme="minorEastAsia"/>
          <w:b/>
          <w:sz w:val="24"/>
          <w:szCs w:val="24"/>
        </w:rPr>
      </w:pPr>
      <w:r>
        <w:rPr>
          <w:rFonts w:cs="Times New Roman" w:asciiTheme="minorEastAsia" w:hAnsiTheme="minorEastAsia"/>
          <w:b/>
          <w:sz w:val="24"/>
          <w:szCs w:val="24"/>
        </w:rPr>
        <w:t>一、回购方案的主要内容</w:t>
      </w:r>
    </w:p>
    <w:p>
      <w:pPr>
        <w:spacing w:line="500" w:lineRule="exact"/>
        <w:ind w:firstLine="482" w:firstLineChars="200"/>
        <w:jc w:val="left"/>
        <w:rPr>
          <w:rFonts w:cs="Times New Roman" w:asciiTheme="minorEastAsia" w:hAnsiTheme="minorEastAsia"/>
          <w:b/>
          <w:sz w:val="24"/>
          <w:szCs w:val="24"/>
        </w:rPr>
      </w:pPr>
      <w:r>
        <w:rPr>
          <w:rFonts w:cs="Times New Roman" w:asciiTheme="minorEastAsia" w:hAnsiTheme="minorEastAsia"/>
          <w:b/>
          <w:sz w:val="24"/>
          <w:szCs w:val="24"/>
        </w:rPr>
        <w:t>1、回购股份的目的及用途</w:t>
      </w:r>
    </w:p>
    <w:p>
      <w:pPr>
        <w:spacing w:line="500" w:lineRule="exact"/>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为维护公司价值及股东权益</w:t>
      </w:r>
      <w:r>
        <w:rPr>
          <w:rFonts w:cs="Times New Roman" w:asciiTheme="minorEastAsia" w:hAnsiTheme="minorEastAsia"/>
          <w:sz w:val="24"/>
          <w:szCs w:val="24"/>
        </w:rPr>
        <w:t>，立足公司长期可持续发展和价值增长，增强投资者对公司的投资信心，结合公司发展战略、经营情况和财务状况，公司以自有资金回购公司股份</w:t>
      </w:r>
      <w:r>
        <w:rPr>
          <w:rFonts w:hint="eastAsia" w:cs="Times New Roman" w:asciiTheme="minorEastAsia" w:hAnsiTheme="minorEastAsia"/>
          <w:sz w:val="24"/>
          <w:szCs w:val="24"/>
        </w:rPr>
        <w:t>。</w:t>
      </w:r>
      <w:r>
        <w:rPr>
          <w:rFonts w:cs="Times New Roman" w:asciiTheme="minorEastAsia" w:hAnsiTheme="minorEastAsia"/>
          <w:sz w:val="24"/>
          <w:szCs w:val="24"/>
        </w:rPr>
        <w:t xml:space="preserve"> </w:t>
      </w:r>
    </w:p>
    <w:p>
      <w:pPr>
        <w:spacing w:line="500" w:lineRule="exact"/>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本次回购股份用途为维护公司价值及股东权益所必需，本次回购的全部股份将在公司披露本次回购结果暨股份变动公告十二个月后择机采用集中竞价交易方式减持。公司如未能在股份回购完成之后</w:t>
      </w:r>
      <w:r>
        <w:rPr>
          <w:rFonts w:cs="Times New Roman" w:asciiTheme="minorEastAsia" w:hAnsiTheme="minorEastAsia"/>
          <w:sz w:val="24"/>
          <w:szCs w:val="24"/>
        </w:rPr>
        <w:t>36</w:t>
      </w:r>
      <w:r>
        <w:rPr>
          <w:rFonts w:hint="eastAsia" w:cs="Times New Roman" w:asciiTheme="minorEastAsia" w:hAnsiTheme="minorEastAsia"/>
          <w:sz w:val="24"/>
          <w:szCs w:val="24"/>
        </w:rPr>
        <w:t>个月内实施前述用途，未使用部分将履行相关程序后予以注销。本次回购股份的用途符合《深圳证券交易所上市公司自律监管指引第</w:t>
      </w:r>
      <w:r>
        <w:rPr>
          <w:rFonts w:cs="Times New Roman" w:asciiTheme="minorEastAsia" w:hAnsiTheme="minorEastAsia"/>
          <w:sz w:val="24"/>
          <w:szCs w:val="24"/>
        </w:rPr>
        <w:t>9</w:t>
      </w:r>
      <w:r>
        <w:rPr>
          <w:rFonts w:hint="eastAsia" w:cs="Times New Roman" w:asciiTheme="minorEastAsia" w:hAnsiTheme="minorEastAsia"/>
          <w:sz w:val="24"/>
          <w:szCs w:val="24"/>
        </w:rPr>
        <w:t>号</w:t>
      </w:r>
      <w:r>
        <w:rPr>
          <w:rFonts w:cs="Times New Roman" w:asciiTheme="minorEastAsia" w:hAnsiTheme="minorEastAsia"/>
          <w:sz w:val="24"/>
          <w:szCs w:val="24"/>
        </w:rPr>
        <w:t>——</w:t>
      </w:r>
      <w:r>
        <w:rPr>
          <w:rFonts w:hint="eastAsia" w:cs="Times New Roman" w:asciiTheme="minorEastAsia" w:hAnsiTheme="minorEastAsia"/>
          <w:sz w:val="24"/>
          <w:szCs w:val="24"/>
        </w:rPr>
        <w:t>回购股份》第二条第二款规定的条件</w:t>
      </w:r>
      <w:r>
        <w:rPr>
          <w:rFonts w:hint="eastAsia" w:cs="Times New Roman" w:asciiTheme="minorEastAsia" w:hAnsiTheme="minorEastAsia"/>
          <w:sz w:val="24"/>
          <w:szCs w:val="24"/>
          <w:lang w:eastAsia="zh-CN"/>
        </w:rPr>
        <w:t>：</w:t>
      </w:r>
      <w:r>
        <w:rPr>
          <w:rFonts w:hint="eastAsia" w:cs="Times New Roman" w:asciiTheme="minorEastAsia" w:hAnsiTheme="minorEastAsia"/>
          <w:sz w:val="24"/>
          <w:szCs w:val="24"/>
        </w:rPr>
        <w:t>公司</w:t>
      </w:r>
      <w:r>
        <w:rPr>
          <w:rFonts w:cs="Times New Roman" w:asciiTheme="minorEastAsia" w:hAnsiTheme="minorEastAsia"/>
          <w:sz w:val="24"/>
          <w:szCs w:val="24"/>
        </w:rPr>
        <w:t>股票收盘价低于其最近一期每股净资产</w:t>
      </w:r>
      <w:r>
        <w:rPr>
          <w:rFonts w:hint="eastAsia" w:cs="Times New Roman" w:asciiTheme="minorEastAsia" w:hAnsiTheme="minorEastAsia"/>
          <w:sz w:val="24"/>
          <w:szCs w:val="24"/>
        </w:rPr>
        <w:t>。</w:t>
      </w:r>
    </w:p>
    <w:p>
      <w:pPr>
        <w:spacing w:line="500" w:lineRule="exact"/>
        <w:ind w:firstLine="482" w:firstLineChars="200"/>
        <w:jc w:val="left"/>
        <w:rPr>
          <w:rFonts w:cs="Times New Roman" w:asciiTheme="minorEastAsia" w:hAnsiTheme="minorEastAsia"/>
          <w:b/>
          <w:sz w:val="24"/>
          <w:szCs w:val="24"/>
        </w:rPr>
      </w:pPr>
      <w:r>
        <w:rPr>
          <w:rFonts w:hint="eastAsia" w:cs="Times New Roman" w:asciiTheme="minorEastAsia" w:hAnsiTheme="minorEastAsia"/>
          <w:b/>
          <w:sz w:val="24"/>
          <w:szCs w:val="24"/>
        </w:rPr>
        <w:t>2、回购股份符合相关条件</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hint="eastAsia" w:cs="Times New Roman" w:asciiTheme="minorEastAsia" w:hAnsiTheme="minorEastAsia"/>
          <w:sz w:val="24"/>
          <w:szCs w:val="24"/>
        </w:rPr>
        <w:t>公司本次回购股份符合《自律监管指引第</w:t>
      </w:r>
      <w:r>
        <w:rPr>
          <w:rFonts w:cs="Times New Roman" w:asciiTheme="minorEastAsia" w:hAnsiTheme="minorEastAsia"/>
          <w:sz w:val="24"/>
          <w:szCs w:val="24"/>
        </w:rPr>
        <w:t>9</w:t>
      </w:r>
      <w:r>
        <w:rPr>
          <w:rFonts w:hint="eastAsia" w:cs="Times New Roman" w:asciiTheme="minorEastAsia" w:hAnsiTheme="minorEastAsia"/>
          <w:sz w:val="24"/>
          <w:szCs w:val="24"/>
        </w:rPr>
        <w:t>号》第十条规定的条件：</w:t>
      </w:r>
      <w:r>
        <w:rPr>
          <w:rFonts w:cs="Times New Roman" w:asciiTheme="minorEastAsia" w:hAnsiTheme="minorEastAsia"/>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1</w:t>
      </w:r>
      <w:r>
        <w:rPr>
          <w:rFonts w:hint="eastAsia" w:cs="Times New Roman" w:asciiTheme="minorEastAsia" w:hAnsiTheme="minorEastAsia"/>
          <w:sz w:val="24"/>
          <w:szCs w:val="24"/>
        </w:rPr>
        <w:t>）、公司股票上市已满一年；</w:t>
      </w:r>
      <w:r>
        <w:rPr>
          <w:rFonts w:cs="Times New Roman" w:asciiTheme="minorEastAsia" w:hAnsiTheme="minorEastAsia"/>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2</w:t>
      </w:r>
      <w:r>
        <w:rPr>
          <w:rFonts w:hint="eastAsia" w:cs="Times New Roman" w:asciiTheme="minorEastAsia" w:hAnsiTheme="minorEastAsia"/>
          <w:sz w:val="24"/>
          <w:szCs w:val="24"/>
        </w:rPr>
        <w:t>）、公司最近一年无重大违法行为；</w:t>
      </w:r>
      <w:r>
        <w:rPr>
          <w:rFonts w:cs="Times New Roman" w:asciiTheme="minorEastAsia" w:hAnsiTheme="minorEastAsia"/>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3</w:t>
      </w:r>
      <w:r>
        <w:rPr>
          <w:rFonts w:hint="eastAsia" w:cs="Times New Roman" w:asciiTheme="minorEastAsia" w:hAnsiTheme="minorEastAsia"/>
          <w:sz w:val="24"/>
          <w:szCs w:val="24"/>
        </w:rPr>
        <w:t>）、本次回购股份后，公司具备债务履行能力和持续经营能力；</w:t>
      </w:r>
      <w:r>
        <w:rPr>
          <w:rFonts w:cs="Times New Roman" w:asciiTheme="minorEastAsia" w:hAnsiTheme="minorEastAsia"/>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4</w:t>
      </w:r>
      <w:r>
        <w:rPr>
          <w:rFonts w:hint="eastAsia" w:cs="Times New Roman" w:asciiTheme="minorEastAsia" w:hAnsiTheme="minorEastAsia"/>
          <w:sz w:val="24"/>
          <w:szCs w:val="24"/>
        </w:rPr>
        <w:t>）、本次回购完成后，公司的股权分布仍符合上市条件；</w:t>
      </w:r>
      <w:r>
        <w:rPr>
          <w:rFonts w:cs="Times New Roman" w:asciiTheme="minorEastAsia" w:hAnsiTheme="minorEastAsia"/>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sz w:val="24"/>
          <w:szCs w:val="24"/>
        </w:rPr>
      </w:pPr>
      <w:r>
        <w:rPr>
          <w:rFonts w:cs="Times New Roman" w:asciiTheme="minorEastAsia" w:hAnsiTheme="minorEastAsia"/>
          <w:sz w:val="24"/>
          <w:szCs w:val="24"/>
        </w:rPr>
        <w:t>5</w:t>
      </w:r>
      <w:r>
        <w:rPr>
          <w:rFonts w:hint="eastAsia" w:cs="Times New Roman" w:asciiTheme="minorEastAsia" w:hAnsiTheme="minorEastAsia"/>
          <w:sz w:val="24"/>
          <w:szCs w:val="24"/>
        </w:rPr>
        <w:t>）、中国证监会规定的其他条件。</w:t>
      </w:r>
      <w:r>
        <w:rPr>
          <w:rFonts w:cs="Times New Roman" w:asciiTheme="minorEastAsia" w:hAnsiTheme="minorEastAsia"/>
          <w:sz w:val="24"/>
          <w:szCs w:val="24"/>
        </w:rPr>
        <w:t xml:space="preserve"> </w:t>
      </w:r>
    </w:p>
    <w:p>
      <w:pPr>
        <w:spacing w:line="500" w:lineRule="exact"/>
        <w:ind w:firstLine="482" w:firstLineChars="200"/>
        <w:jc w:val="left"/>
        <w:rPr>
          <w:rFonts w:cs="Times New Roman" w:asciiTheme="minorEastAsia" w:hAnsiTheme="minorEastAsia"/>
          <w:b/>
          <w:sz w:val="24"/>
          <w:szCs w:val="24"/>
        </w:rPr>
      </w:pPr>
      <w:r>
        <w:rPr>
          <w:rFonts w:hint="eastAsia" w:cs="Times New Roman" w:asciiTheme="minorEastAsia" w:hAnsiTheme="minorEastAsia"/>
          <w:b/>
          <w:sz w:val="24"/>
          <w:szCs w:val="24"/>
        </w:rPr>
        <w:t>3</w:t>
      </w:r>
      <w:r>
        <w:rPr>
          <w:rFonts w:cs="Times New Roman" w:asciiTheme="minorEastAsia" w:hAnsiTheme="minorEastAsia"/>
          <w:b/>
          <w:sz w:val="24"/>
          <w:szCs w:val="24"/>
        </w:rPr>
        <w:t>、回购股份的方式</w:t>
      </w:r>
    </w:p>
    <w:p>
      <w:pPr>
        <w:pStyle w:val="14"/>
        <w:spacing w:line="500" w:lineRule="exact"/>
        <w:ind w:firstLine="480" w:firstLineChars="200"/>
        <w:rPr>
          <w:rFonts w:cs="Times New Roman" w:asciiTheme="minorEastAsia" w:hAnsiTheme="minorEastAsia" w:eastAsiaTheme="minorEastAsia"/>
          <w:color w:val="auto"/>
        </w:rPr>
      </w:pPr>
      <w:r>
        <w:rPr>
          <w:rFonts w:cs="Times New Roman" w:asciiTheme="minorEastAsia" w:hAnsiTheme="minorEastAsia" w:eastAsiaTheme="minorEastAsia"/>
          <w:color w:val="auto"/>
        </w:rPr>
        <w:t>通过深圳证券交易所交易系统以集中竞价交易方式回购公司股份。</w:t>
      </w:r>
    </w:p>
    <w:p>
      <w:pPr>
        <w:pStyle w:val="14"/>
        <w:spacing w:line="500" w:lineRule="exact"/>
        <w:ind w:firstLine="482" w:firstLineChars="200"/>
        <w:rPr>
          <w:rFonts w:cs="Times New Roman" w:asciiTheme="minorEastAsia" w:hAnsiTheme="minorEastAsia" w:eastAsiaTheme="minorEastAsia"/>
          <w:b/>
          <w:color w:val="auto"/>
          <w:kern w:val="2"/>
        </w:rPr>
      </w:pPr>
      <w:r>
        <w:rPr>
          <w:rFonts w:hint="eastAsia" w:cs="Times New Roman" w:asciiTheme="minorEastAsia" w:hAnsiTheme="minorEastAsia" w:eastAsiaTheme="minorEastAsia"/>
          <w:b/>
          <w:color w:val="auto"/>
          <w:kern w:val="2"/>
        </w:rPr>
        <w:t>4</w:t>
      </w:r>
      <w:r>
        <w:rPr>
          <w:rFonts w:cs="Times New Roman" w:asciiTheme="minorEastAsia" w:hAnsiTheme="minorEastAsia" w:eastAsiaTheme="minorEastAsia"/>
          <w:b/>
          <w:color w:val="auto"/>
          <w:kern w:val="2"/>
        </w:rPr>
        <w:t>、拟回购股份种类、数量、占公司总股本的比例及拟用于回购的资金总额</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回购股份的种类：公司发行的人民币普通股（A股）</w:t>
      </w:r>
    </w:p>
    <w:p>
      <w:pPr>
        <w:autoSpaceDE w:val="0"/>
        <w:autoSpaceDN w:val="0"/>
        <w:adjustRightInd w:val="0"/>
        <w:spacing w:line="500" w:lineRule="exact"/>
        <w:ind w:firstLine="480" w:firstLineChars="200"/>
        <w:rPr>
          <w:rFonts w:cs="宋体" w:asciiTheme="minorEastAsia" w:hAnsiTheme="minorEastAsia"/>
          <w:kern w:val="0"/>
          <w:sz w:val="24"/>
          <w:szCs w:val="24"/>
        </w:rPr>
      </w:pPr>
      <w:r>
        <w:rPr>
          <w:rFonts w:cs="Times New Roman" w:asciiTheme="minorEastAsia" w:hAnsiTheme="minorEastAsia"/>
          <w:kern w:val="0"/>
          <w:sz w:val="24"/>
          <w:szCs w:val="24"/>
        </w:rPr>
        <w:t>回购股份的数量及占公司总股本的比例：</w:t>
      </w:r>
      <w:r>
        <w:rPr>
          <w:rFonts w:hint="eastAsia" w:cs="宋体" w:asciiTheme="minorEastAsia" w:hAnsiTheme="minorEastAsia"/>
          <w:kern w:val="0"/>
          <w:sz w:val="24"/>
          <w:szCs w:val="24"/>
        </w:rPr>
        <w:t>回购总金额为不低于人民币10,000万元,不超过人民币20,000万元，回购价格不超过4.60元</w:t>
      </w:r>
      <w:r>
        <w:rPr>
          <w:rFonts w:cs="宋体" w:asciiTheme="minorEastAsia" w:hAnsiTheme="minorEastAsia"/>
          <w:kern w:val="0"/>
          <w:sz w:val="24"/>
          <w:szCs w:val="24"/>
        </w:rPr>
        <w:t>/</w:t>
      </w:r>
      <w:r>
        <w:rPr>
          <w:rFonts w:hint="eastAsia" w:cs="宋体" w:asciiTheme="minorEastAsia" w:hAnsiTheme="minorEastAsia"/>
          <w:kern w:val="0"/>
          <w:sz w:val="24"/>
          <w:szCs w:val="24"/>
        </w:rPr>
        <w:t>股，按回购资金总额下限人民币10,000万元和回购股份价格上限4.60元/股测算，预计回购股份数量约为21,739,130股，约占目前公司总股本的1.28%；按回购总金额上限人民币20,000万元和回购股份价格上限4.60元/股测算，预计回购股份数量约为43,478,260股，约占目前公司总股本的2.56%。（具体回购金额及回购数量以回购期满时实际使用的资金和回购的股份数量为准）。</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5</w:t>
      </w:r>
      <w:r>
        <w:rPr>
          <w:rFonts w:cs="Times New Roman" w:asciiTheme="minorEastAsia" w:hAnsiTheme="minorEastAsia" w:eastAsiaTheme="minorEastAsia"/>
          <w:b/>
          <w:color w:val="auto"/>
        </w:rPr>
        <w:t>、回购资金来源</w:t>
      </w:r>
    </w:p>
    <w:p>
      <w:pPr>
        <w:pStyle w:val="14"/>
        <w:spacing w:line="500" w:lineRule="exact"/>
        <w:ind w:firstLine="480" w:firstLineChars="200"/>
        <w:rPr>
          <w:rFonts w:cs="Times New Roman" w:asciiTheme="minorEastAsia" w:hAnsiTheme="minorEastAsia" w:eastAsiaTheme="minorEastAsia"/>
          <w:color w:val="auto"/>
        </w:rPr>
      </w:pPr>
      <w:r>
        <w:rPr>
          <w:rFonts w:cs="Times New Roman" w:asciiTheme="minorEastAsia" w:hAnsiTheme="minorEastAsia" w:eastAsiaTheme="minorEastAsia"/>
          <w:color w:val="auto"/>
        </w:rPr>
        <w:t>本次回购的资金来源为公司自有资金。</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6</w:t>
      </w:r>
      <w:r>
        <w:rPr>
          <w:rFonts w:cs="Times New Roman" w:asciiTheme="minorEastAsia" w:hAnsiTheme="minorEastAsia" w:eastAsiaTheme="minorEastAsia"/>
          <w:b/>
          <w:color w:val="auto"/>
        </w:rPr>
        <w:t>、拟回购股份的价格及定价原则</w:t>
      </w:r>
    </w:p>
    <w:p>
      <w:pPr>
        <w:pStyle w:val="14"/>
        <w:spacing w:line="500" w:lineRule="exact"/>
        <w:ind w:firstLine="480" w:firstLineChars="200"/>
        <w:rPr>
          <w:rFonts w:cs="Times New Roman" w:asciiTheme="minorEastAsia" w:hAnsiTheme="minorEastAsia" w:eastAsiaTheme="minorEastAsia"/>
          <w:color w:val="auto"/>
        </w:rPr>
      </w:pPr>
      <w:r>
        <w:rPr>
          <w:rFonts w:asciiTheme="minorEastAsia" w:hAnsiTheme="minorEastAsia" w:eastAsiaTheme="minorEastAsia"/>
        </w:rPr>
        <w:t>本次回购股份的价格</w:t>
      </w:r>
      <w:r>
        <w:rPr>
          <w:rFonts w:hint="eastAsia" w:asciiTheme="minorEastAsia" w:hAnsiTheme="minorEastAsia" w:eastAsiaTheme="minorEastAsia"/>
        </w:rPr>
        <w:t>区间</w:t>
      </w:r>
      <w:r>
        <w:rPr>
          <w:rFonts w:asciiTheme="minorEastAsia" w:hAnsiTheme="minorEastAsia" w:eastAsiaTheme="minorEastAsia"/>
        </w:rPr>
        <w:t>为不超过人民币</w:t>
      </w:r>
      <w:r>
        <w:rPr>
          <w:rFonts w:hint="eastAsia" w:asciiTheme="minorEastAsia" w:hAnsiTheme="minorEastAsia" w:eastAsiaTheme="minorEastAsia"/>
        </w:rPr>
        <w:t>4.60</w:t>
      </w:r>
      <w:r>
        <w:rPr>
          <w:rFonts w:asciiTheme="minorEastAsia" w:hAnsiTheme="minorEastAsia" w:eastAsiaTheme="minorEastAsia"/>
        </w:rPr>
        <w:t>元/股</w:t>
      </w:r>
      <w:r>
        <w:rPr>
          <w:rFonts w:hint="eastAsia" w:asciiTheme="minorEastAsia" w:hAnsiTheme="minorEastAsia" w:eastAsiaTheme="minorEastAsia"/>
        </w:rPr>
        <w:t>（未高于公司董事会通过回购股份决议前三十个交易日公司股票交易均价的150%）</w:t>
      </w:r>
      <w:r>
        <w:rPr>
          <w:rFonts w:asciiTheme="minorEastAsia" w:hAnsiTheme="minorEastAsia" w:eastAsiaTheme="minorEastAsia"/>
        </w:rPr>
        <w:t>。若公司在回购股份期内实施了送股、资本公积金转增股本、现金分红、配股及其他除权除息事项，自股价除权、除息之日起，</w:t>
      </w:r>
      <w:r>
        <w:rPr>
          <w:rFonts w:hint="eastAsia" w:asciiTheme="minorEastAsia" w:hAnsiTheme="minorEastAsia" w:eastAsiaTheme="minorEastAsia"/>
        </w:rPr>
        <w:t>按照中国证监会及深圳证券易所的相关规定相应调整回购价格上限。</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7</w:t>
      </w:r>
      <w:r>
        <w:rPr>
          <w:rFonts w:cs="Times New Roman" w:asciiTheme="minorEastAsia" w:hAnsiTheme="minorEastAsia" w:eastAsiaTheme="minorEastAsia"/>
          <w:b/>
          <w:color w:val="auto"/>
        </w:rPr>
        <w:t>、回购股份的实施期限</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回购实施期限</w:t>
      </w:r>
      <w:r>
        <w:rPr>
          <w:rFonts w:cs="宋体" w:asciiTheme="minorEastAsia" w:hAnsiTheme="minorEastAsia"/>
          <w:color w:val="000000"/>
          <w:kern w:val="0"/>
          <w:sz w:val="24"/>
          <w:szCs w:val="24"/>
        </w:rPr>
        <w:t>自</w:t>
      </w:r>
      <w:r>
        <w:rPr>
          <w:rFonts w:hint="eastAsia" w:cs="宋体" w:asciiTheme="minorEastAsia" w:hAnsiTheme="minorEastAsia"/>
          <w:color w:val="000000"/>
          <w:kern w:val="0"/>
          <w:sz w:val="24"/>
          <w:szCs w:val="24"/>
        </w:rPr>
        <w:t>本方案经公司董事会</w:t>
      </w:r>
      <w:r>
        <w:rPr>
          <w:rFonts w:cs="宋体" w:asciiTheme="minorEastAsia" w:hAnsiTheme="minorEastAsia"/>
          <w:color w:val="000000"/>
          <w:kern w:val="0"/>
          <w:sz w:val="24"/>
          <w:szCs w:val="24"/>
        </w:rPr>
        <w:t>审议通过之日起</w:t>
      </w:r>
      <w:r>
        <w:rPr>
          <w:rFonts w:hint="eastAsia" w:cs="宋体" w:asciiTheme="minorEastAsia" w:hAnsiTheme="minorEastAsia"/>
          <w:color w:val="000000"/>
          <w:kern w:val="0"/>
          <w:sz w:val="24"/>
          <w:szCs w:val="24"/>
        </w:rPr>
        <w:t>三个</w:t>
      </w:r>
      <w:r>
        <w:rPr>
          <w:rFonts w:cs="宋体" w:asciiTheme="minorEastAsia" w:hAnsiTheme="minorEastAsia"/>
          <w:color w:val="000000"/>
          <w:kern w:val="0"/>
          <w:sz w:val="24"/>
          <w:szCs w:val="24"/>
        </w:rPr>
        <w:t>月内。</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公司将根据董事会授权，在回购期限内根据市场情况择机作出回购决策并予以实施。</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公司不得在下列期间回购股份：</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（1）</w:t>
      </w:r>
      <w:r>
        <w:rPr>
          <w:rFonts w:hint="eastAsia" w:cs="Times New Roman" w:asciiTheme="minorEastAsia" w:hAnsiTheme="minorEastAsia"/>
          <w:kern w:val="0"/>
          <w:sz w:val="24"/>
          <w:szCs w:val="24"/>
        </w:rPr>
        <w:t>公司年度报告、半年度报告公告前十个交易日内，因特殊原因推迟公告日期的，自原预约公告日前十个交易日起算；</w:t>
      </w:r>
    </w:p>
    <w:p>
      <w:pPr>
        <w:spacing w:line="560" w:lineRule="exact"/>
        <w:ind w:firstLine="480" w:firstLineChars="200"/>
        <w:rPr>
          <w:rFonts w:cs="Times New Roman" w:asciiTheme="minorEastAsia" w:hAnsiTheme="minorEastAsia"/>
          <w:kern w:val="0"/>
          <w:sz w:val="24"/>
          <w:szCs w:val="24"/>
        </w:rPr>
      </w:pPr>
      <w:r>
        <w:rPr>
          <w:rFonts w:cs="Times New Roman" w:asciiTheme="minorEastAsia" w:hAnsiTheme="minorEastAsia"/>
          <w:kern w:val="0"/>
          <w:sz w:val="24"/>
          <w:szCs w:val="24"/>
        </w:rPr>
        <w:t>（2）</w:t>
      </w:r>
      <w:r>
        <w:rPr>
          <w:rFonts w:hint="eastAsia" w:cs="Times New Roman" w:asciiTheme="minorEastAsia" w:hAnsiTheme="minorEastAsia"/>
          <w:kern w:val="0"/>
          <w:sz w:val="24"/>
          <w:szCs w:val="24"/>
        </w:rPr>
        <w:t>公司季度报告、业绩预告、业绩快报公告前十个交易日内；</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（3）</w:t>
      </w:r>
      <w:r>
        <w:rPr>
          <w:rFonts w:hint="eastAsia" w:cs="Times New Roman" w:asciiTheme="minorEastAsia" w:hAnsiTheme="minorEastAsia"/>
          <w:kern w:val="0"/>
          <w:sz w:val="24"/>
          <w:szCs w:val="24"/>
        </w:rPr>
        <w:t>自可能对本公司股票交易价格产生重大影响的重大事项发生之日或者在决策过程中，至依法披露之日内；</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（4）中国证监会规定的其他情形。</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8</w:t>
      </w:r>
      <w:r>
        <w:rPr>
          <w:rFonts w:cs="Times New Roman" w:asciiTheme="minorEastAsia" w:hAnsiTheme="minorEastAsia" w:eastAsiaTheme="minorEastAsia"/>
          <w:b/>
          <w:color w:val="auto"/>
        </w:rPr>
        <w:t>、预计回购后公司股权结构的变动情况</w:t>
      </w:r>
    </w:p>
    <w:p>
      <w:pPr>
        <w:pStyle w:val="7"/>
        <w:shd w:val="clear" w:color="auto" w:fill="FFFFFF"/>
        <w:spacing w:before="0" w:beforeAutospacing="0" w:after="0" w:afterAutospacing="0" w:line="500" w:lineRule="exact"/>
        <w:ind w:firstLine="480" w:firstLineChars="200"/>
        <w:jc w:val="both"/>
        <w:rPr>
          <w:rFonts w:cs="Times New Roman" w:asciiTheme="minorEastAsia" w:hAnsiTheme="minorEastAsia" w:eastAsiaTheme="minorEastAsia"/>
        </w:rPr>
      </w:pPr>
      <w:r>
        <w:rPr>
          <w:rFonts w:hint="eastAsia" w:cs="Times New Roman" w:asciiTheme="minorEastAsia" w:hAnsiTheme="minorEastAsia" w:eastAsiaTheme="minorEastAsia"/>
        </w:rPr>
        <w:t>本次回购完成后，按照本次回购金额测算的回购股份数量，公司无限售条件流通股将相应减少</w:t>
      </w:r>
      <w:r>
        <w:rPr>
          <w:rFonts w:hint="eastAsia" w:asciiTheme="minorEastAsia" w:hAnsiTheme="minorEastAsia" w:eastAsiaTheme="minorEastAsia"/>
        </w:rPr>
        <w:t>21,739,130</w:t>
      </w:r>
      <w:r>
        <w:rPr>
          <w:rFonts w:hint="eastAsia" w:cs="Times New Roman" w:asciiTheme="minorEastAsia" w:hAnsiTheme="minorEastAsia" w:eastAsiaTheme="minorEastAsia"/>
        </w:rPr>
        <w:t>股至</w:t>
      </w:r>
      <w:r>
        <w:rPr>
          <w:rFonts w:hint="eastAsia" w:asciiTheme="minorEastAsia" w:hAnsiTheme="minorEastAsia" w:eastAsiaTheme="minorEastAsia"/>
        </w:rPr>
        <w:t>43,478,260</w:t>
      </w:r>
      <w:r>
        <w:rPr>
          <w:rFonts w:hint="eastAsia" w:cs="Times New Roman" w:asciiTheme="minorEastAsia" w:hAnsiTheme="minorEastAsia" w:eastAsiaTheme="minorEastAsia"/>
        </w:rPr>
        <w:t>股，转为公司库存股，但公司总股本不会发生变化。后续公司按照有关规定的要求将回购的股份出售后，回购的股份转为无限售条件流通股，则公司股权结构将不会发生变化。</w:t>
      </w:r>
    </w:p>
    <w:p>
      <w:pPr>
        <w:pStyle w:val="14"/>
        <w:spacing w:line="500" w:lineRule="exact"/>
        <w:ind w:firstLine="480" w:firstLineChars="200"/>
        <w:rPr>
          <w:rFonts w:cs="Times New Roman" w:asciiTheme="minorEastAsia" w:hAnsiTheme="minorEastAsia" w:eastAsiaTheme="minorEastAsia"/>
          <w:color w:val="auto"/>
        </w:rPr>
      </w:pPr>
      <w:r>
        <w:rPr>
          <w:rFonts w:hint="eastAsia" w:cs="Times New Roman" w:asciiTheme="minorEastAsia" w:hAnsiTheme="minorEastAsia" w:eastAsiaTheme="minorEastAsia"/>
          <w:color w:val="auto"/>
        </w:rPr>
        <w:t>若回购股份未能实现转让，以截至目前公司总股本为基础，按回购上限</w:t>
      </w:r>
      <w:r>
        <w:rPr>
          <w:rFonts w:hint="eastAsia" w:asciiTheme="minorEastAsia" w:hAnsiTheme="minorEastAsia" w:eastAsiaTheme="minorEastAsia"/>
        </w:rPr>
        <w:t>43,478,260</w:t>
      </w:r>
      <w:r>
        <w:rPr>
          <w:rFonts w:hint="eastAsia" w:cs="Times New Roman" w:asciiTheme="minorEastAsia" w:hAnsiTheme="minorEastAsia" w:eastAsiaTheme="minorEastAsia"/>
          <w:color w:val="auto"/>
        </w:rPr>
        <w:t>股计算且全部被注销，则以此测算的公司股本结构变化情况如下：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984"/>
        <w:gridCol w:w="1134"/>
        <w:gridCol w:w="1985"/>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股份分类</w:t>
            </w:r>
          </w:p>
        </w:tc>
        <w:tc>
          <w:tcPr>
            <w:tcW w:w="3118" w:type="dxa"/>
            <w:gridSpan w:val="2"/>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回购前</w:t>
            </w:r>
          </w:p>
        </w:tc>
        <w:tc>
          <w:tcPr>
            <w:tcW w:w="3169" w:type="dxa"/>
            <w:gridSpan w:val="2"/>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回购后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vMerge w:val="continue"/>
          </w:tcPr>
          <w:p>
            <w:pPr>
              <w:pStyle w:val="14"/>
              <w:spacing w:line="400" w:lineRule="exact"/>
              <w:rPr>
                <w:rFonts w:cs="Times New Roman" w:asciiTheme="minorEastAsia" w:hAnsiTheme="minorEastAsia" w:eastAsiaTheme="minorEastAsia"/>
                <w:b/>
                <w:color w:val="auto"/>
              </w:rPr>
            </w:pPr>
          </w:p>
        </w:tc>
        <w:tc>
          <w:tcPr>
            <w:tcW w:w="198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股份数</w:t>
            </w:r>
          </w:p>
        </w:tc>
        <w:tc>
          <w:tcPr>
            <w:tcW w:w="113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占比</w:t>
            </w:r>
          </w:p>
        </w:tc>
        <w:tc>
          <w:tcPr>
            <w:tcW w:w="1985"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股份数</w:t>
            </w:r>
          </w:p>
        </w:tc>
        <w:tc>
          <w:tcPr>
            <w:tcW w:w="118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pStyle w:val="14"/>
              <w:spacing w:line="400" w:lineRule="exact"/>
              <w:rPr>
                <w:rFonts w:cs="Times New Roman" w:asciiTheme="minorEastAsia" w:hAnsiTheme="minorEastAsia" w:eastAsiaTheme="minorEastAsia"/>
                <w:color w:val="auto"/>
              </w:rPr>
            </w:pPr>
            <w:r>
              <w:rPr>
                <w:rFonts w:cs="Times New Roman" w:asciiTheme="minorEastAsia" w:hAnsiTheme="minorEastAsia" w:eastAsiaTheme="minorEastAsia"/>
                <w:color w:val="auto"/>
              </w:rPr>
              <w:t>有限售条件流通股</w:t>
            </w:r>
          </w:p>
        </w:tc>
        <w:tc>
          <w:tcPr>
            <w:tcW w:w="198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w:t>
            </w:r>
          </w:p>
        </w:tc>
        <w:tc>
          <w:tcPr>
            <w:tcW w:w="113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0.00%</w:t>
            </w:r>
          </w:p>
        </w:tc>
        <w:tc>
          <w:tcPr>
            <w:tcW w:w="1985"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w:t>
            </w:r>
          </w:p>
        </w:tc>
        <w:tc>
          <w:tcPr>
            <w:tcW w:w="118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pStyle w:val="14"/>
              <w:spacing w:line="400" w:lineRule="exact"/>
              <w:rPr>
                <w:rFonts w:cs="Times New Roman" w:asciiTheme="minorEastAsia" w:hAnsiTheme="minorEastAsia" w:eastAsiaTheme="minorEastAsia"/>
                <w:color w:val="auto"/>
              </w:rPr>
            </w:pPr>
            <w:r>
              <w:rPr>
                <w:rFonts w:cs="Times New Roman" w:asciiTheme="minorEastAsia" w:hAnsiTheme="minorEastAsia" w:eastAsiaTheme="minorEastAsia"/>
                <w:color w:val="auto"/>
              </w:rPr>
              <w:t>无限售条件流通股</w:t>
            </w:r>
          </w:p>
        </w:tc>
        <w:tc>
          <w:tcPr>
            <w:tcW w:w="1984"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1,700,681,355</w:t>
            </w:r>
          </w:p>
        </w:tc>
        <w:tc>
          <w:tcPr>
            <w:tcW w:w="1134"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0.00%</w:t>
            </w:r>
          </w:p>
        </w:tc>
        <w:tc>
          <w:tcPr>
            <w:tcW w:w="1985"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1,657,203,095</w:t>
            </w:r>
          </w:p>
        </w:tc>
        <w:tc>
          <w:tcPr>
            <w:tcW w:w="1184"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pStyle w:val="14"/>
              <w:spacing w:line="400" w:lineRule="exact"/>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合计</w:t>
            </w:r>
          </w:p>
        </w:tc>
        <w:tc>
          <w:tcPr>
            <w:tcW w:w="1984"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1,700,681,355</w:t>
            </w:r>
          </w:p>
        </w:tc>
        <w:tc>
          <w:tcPr>
            <w:tcW w:w="1134"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100.00%</w:t>
            </w:r>
          </w:p>
        </w:tc>
        <w:tc>
          <w:tcPr>
            <w:tcW w:w="1985"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1,657,203,095</w:t>
            </w:r>
          </w:p>
        </w:tc>
        <w:tc>
          <w:tcPr>
            <w:tcW w:w="1184" w:type="dxa"/>
            <w:vAlign w:val="center"/>
          </w:tcPr>
          <w:p>
            <w:pPr>
              <w:spacing w:before="62" w:beforeLines="20" w:after="62" w:afterLines="20"/>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pPr>
        <w:pStyle w:val="7"/>
        <w:shd w:val="clear" w:color="auto" w:fill="FFFFFF"/>
        <w:spacing w:before="0" w:beforeAutospacing="0" w:after="0" w:afterAutospacing="0" w:line="500" w:lineRule="exact"/>
        <w:ind w:firstLine="480" w:firstLineChars="200"/>
        <w:jc w:val="both"/>
        <w:rPr>
          <w:rFonts w:cs="Times New Roman" w:asciiTheme="minorEastAsia" w:hAnsiTheme="minorEastAsia" w:eastAsiaTheme="minorEastAsia"/>
        </w:rPr>
      </w:pPr>
      <w:r>
        <w:rPr>
          <w:rFonts w:cs="Times New Roman" w:asciiTheme="minorEastAsia" w:hAnsiTheme="minorEastAsia" w:eastAsiaTheme="minorEastAsia"/>
        </w:rPr>
        <w:t xml:space="preserve"> </w:t>
      </w:r>
      <w:r>
        <w:rPr>
          <w:rFonts w:hint="eastAsia" w:cs="Times New Roman" w:asciiTheme="minorEastAsia" w:hAnsiTheme="minorEastAsia" w:eastAsiaTheme="minorEastAsia"/>
        </w:rPr>
        <w:t>若回购股份未能实现转让，以截至目前公司总股本为基础，按回购下限</w:t>
      </w:r>
      <w:r>
        <w:rPr>
          <w:rFonts w:hint="eastAsia" w:asciiTheme="minorEastAsia" w:hAnsiTheme="minorEastAsia" w:eastAsiaTheme="minorEastAsia"/>
        </w:rPr>
        <w:t>21,739,130</w:t>
      </w:r>
      <w:r>
        <w:rPr>
          <w:rFonts w:hint="eastAsia" w:cs="Times New Roman" w:asciiTheme="minorEastAsia" w:hAnsiTheme="minorEastAsia" w:eastAsiaTheme="minorEastAsia"/>
        </w:rPr>
        <w:t>股计算且全部被注销，则以此测算的公司股本结构变化情况如下：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984"/>
        <w:gridCol w:w="1134"/>
        <w:gridCol w:w="1985"/>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股份分类</w:t>
            </w:r>
          </w:p>
        </w:tc>
        <w:tc>
          <w:tcPr>
            <w:tcW w:w="3118" w:type="dxa"/>
            <w:gridSpan w:val="2"/>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回购前</w:t>
            </w:r>
          </w:p>
        </w:tc>
        <w:tc>
          <w:tcPr>
            <w:tcW w:w="3169" w:type="dxa"/>
            <w:gridSpan w:val="2"/>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回购后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tcPr>
          <w:p>
            <w:pPr>
              <w:pStyle w:val="14"/>
              <w:spacing w:line="400" w:lineRule="exact"/>
              <w:rPr>
                <w:rFonts w:cs="Times New Roman" w:asciiTheme="minorEastAsia" w:hAnsiTheme="minorEastAsia" w:eastAsiaTheme="minorEastAsia"/>
                <w:b/>
                <w:color w:val="auto"/>
              </w:rPr>
            </w:pPr>
          </w:p>
        </w:tc>
        <w:tc>
          <w:tcPr>
            <w:tcW w:w="198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股份数</w:t>
            </w:r>
          </w:p>
        </w:tc>
        <w:tc>
          <w:tcPr>
            <w:tcW w:w="113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占比</w:t>
            </w:r>
          </w:p>
        </w:tc>
        <w:tc>
          <w:tcPr>
            <w:tcW w:w="1985"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股份数</w:t>
            </w:r>
          </w:p>
        </w:tc>
        <w:tc>
          <w:tcPr>
            <w:tcW w:w="1184" w:type="dxa"/>
            <w:vAlign w:val="center"/>
          </w:tcPr>
          <w:p>
            <w:pPr>
              <w:pStyle w:val="14"/>
              <w:spacing w:line="400" w:lineRule="exact"/>
              <w:jc w:val="center"/>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pStyle w:val="14"/>
              <w:spacing w:line="400" w:lineRule="exact"/>
              <w:rPr>
                <w:rFonts w:cs="Times New Roman" w:asciiTheme="minorEastAsia" w:hAnsiTheme="minorEastAsia" w:eastAsiaTheme="minorEastAsia"/>
                <w:color w:val="auto"/>
              </w:rPr>
            </w:pPr>
            <w:r>
              <w:rPr>
                <w:rFonts w:cs="Times New Roman" w:asciiTheme="minorEastAsia" w:hAnsiTheme="minorEastAsia" w:eastAsiaTheme="minorEastAsia"/>
                <w:color w:val="auto"/>
              </w:rPr>
              <w:t>有限售条件流通股</w:t>
            </w:r>
          </w:p>
        </w:tc>
        <w:tc>
          <w:tcPr>
            <w:tcW w:w="198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w:t>
            </w:r>
          </w:p>
        </w:tc>
        <w:tc>
          <w:tcPr>
            <w:tcW w:w="113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0.00</w:t>
            </w:r>
          </w:p>
        </w:tc>
        <w:tc>
          <w:tcPr>
            <w:tcW w:w="1985"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w:t>
            </w:r>
          </w:p>
        </w:tc>
        <w:tc>
          <w:tcPr>
            <w:tcW w:w="1184" w:type="dxa"/>
            <w:vAlign w:val="center"/>
          </w:tcPr>
          <w:p>
            <w:pPr>
              <w:spacing w:before="62" w:beforeLines="20" w:after="62" w:afterLines="20"/>
              <w:jc w:val="right"/>
              <w:rPr>
                <w:rFonts w:cs="Times New Roman" w:asciiTheme="minorEastAsia" w:hAnsiTheme="minorEastAsia"/>
                <w:sz w:val="24"/>
                <w:szCs w:val="24"/>
              </w:rPr>
            </w:pPr>
            <w:r>
              <w:rPr>
                <w:rFonts w:hint="eastAsia" w:cs="Times New Roman" w:asciiTheme="minorEastAsia" w:hAnsiTheme="minorEastAsia"/>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pPr>
              <w:pStyle w:val="14"/>
              <w:spacing w:line="400" w:lineRule="exact"/>
              <w:rPr>
                <w:rFonts w:cs="Times New Roman" w:asciiTheme="minorEastAsia" w:hAnsiTheme="minorEastAsia" w:eastAsiaTheme="minorEastAsia"/>
                <w:color w:val="auto"/>
              </w:rPr>
            </w:pPr>
            <w:r>
              <w:rPr>
                <w:rFonts w:cs="Times New Roman" w:asciiTheme="minorEastAsia" w:hAnsiTheme="minorEastAsia" w:eastAsiaTheme="minorEastAsia"/>
                <w:color w:val="auto"/>
              </w:rPr>
              <w:t>无限售条件流通股</w:t>
            </w:r>
          </w:p>
        </w:tc>
        <w:tc>
          <w:tcPr>
            <w:tcW w:w="1984"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1,700,681,355</w:t>
            </w:r>
          </w:p>
        </w:tc>
        <w:tc>
          <w:tcPr>
            <w:tcW w:w="1134"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100.00%</w:t>
            </w:r>
          </w:p>
        </w:tc>
        <w:tc>
          <w:tcPr>
            <w:tcW w:w="1985"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1,678,942,225</w:t>
            </w:r>
          </w:p>
        </w:tc>
        <w:tc>
          <w:tcPr>
            <w:tcW w:w="1184" w:type="dxa"/>
            <w:vAlign w:val="center"/>
          </w:tcPr>
          <w:p>
            <w:pPr>
              <w:spacing w:before="62" w:beforeLines="20" w:after="62" w:afterLines="2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pStyle w:val="14"/>
              <w:spacing w:line="400" w:lineRule="exact"/>
              <w:rPr>
                <w:rFonts w:cs="Times New Roman" w:asciiTheme="minorEastAsia" w:hAnsiTheme="minorEastAsia" w:eastAsiaTheme="minorEastAsia"/>
                <w:b/>
                <w:color w:val="auto"/>
              </w:rPr>
            </w:pPr>
            <w:r>
              <w:rPr>
                <w:rFonts w:cs="Times New Roman" w:asciiTheme="minorEastAsia" w:hAnsiTheme="minorEastAsia" w:eastAsiaTheme="minorEastAsia"/>
                <w:b/>
                <w:color w:val="auto"/>
              </w:rPr>
              <w:t>合计</w:t>
            </w:r>
          </w:p>
        </w:tc>
        <w:tc>
          <w:tcPr>
            <w:tcW w:w="1984"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1,700,681,355</w:t>
            </w:r>
          </w:p>
        </w:tc>
        <w:tc>
          <w:tcPr>
            <w:tcW w:w="1134"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100.00%</w:t>
            </w:r>
          </w:p>
        </w:tc>
        <w:tc>
          <w:tcPr>
            <w:tcW w:w="1985" w:type="dxa"/>
            <w:vAlign w:val="center"/>
          </w:tcPr>
          <w:p>
            <w:pPr>
              <w:wordWrap w:val="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1,678,942,225</w:t>
            </w:r>
          </w:p>
        </w:tc>
        <w:tc>
          <w:tcPr>
            <w:tcW w:w="1184" w:type="dxa"/>
            <w:vAlign w:val="center"/>
          </w:tcPr>
          <w:p>
            <w:pPr>
              <w:spacing w:before="62" w:beforeLines="20" w:after="62" w:afterLines="20"/>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9</w:t>
      </w:r>
      <w:r>
        <w:rPr>
          <w:rFonts w:cs="Times New Roman" w:asciiTheme="minorEastAsia" w:hAnsiTheme="minorEastAsia" w:eastAsiaTheme="minorEastAsia"/>
          <w:b/>
          <w:color w:val="auto"/>
        </w:rPr>
        <w:t>、管理层就本次回购股份对公司经营、财务及未来影响的分析</w:t>
      </w:r>
    </w:p>
    <w:p>
      <w:pPr>
        <w:pStyle w:val="14"/>
        <w:spacing w:line="500" w:lineRule="exact"/>
        <w:ind w:firstLine="480" w:firstLineChars="200"/>
        <w:rPr>
          <w:rFonts w:cs="Times New Roman" w:asciiTheme="minorEastAsia" w:hAnsiTheme="minorEastAsia" w:eastAsiaTheme="minorEastAsia"/>
          <w:color w:val="auto"/>
        </w:rPr>
      </w:pPr>
      <w:r>
        <w:rPr>
          <w:rFonts w:cs="Times New Roman" w:asciiTheme="minorEastAsia" w:hAnsiTheme="minorEastAsia" w:eastAsiaTheme="minorEastAsia"/>
          <w:color w:val="auto"/>
        </w:rPr>
        <w:t>截至202</w:t>
      </w:r>
      <w:r>
        <w:rPr>
          <w:rFonts w:hint="eastAsia" w:cs="Times New Roman" w:asciiTheme="minorEastAsia" w:hAnsiTheme="minorEastAsia" w:eastAsiaTheme="minorEastAsia"/>
          <w:color w:val="auto"/>
        </w:rPr>
        <w:t>2</w:t>
      </w:r>
      <w:r>
        <w:rPr>
          <w:rFonts w:cs="Times New Roman" w:asciiTheme="minorEastAsia" w:hAnsiTheme="minorEastAsia" w:eastAsiaTheme="minorEastAsia"/>
          <w:color w:val="auto"/>
        </w:rPr>
        <w:t>年</w:t>
      </w:r>
      <w:r>
        <w:rPr>
          <w:rFonts w:hint="eastAsia" w:cs="Times New Roman" w:asciiTheme="minorEastAsia" w:hAnsiTheme="minorEastAsia" w:eastAsiaTheme="minorEastAsia"/>
          <w:color w:val="auto"/>
        </w:rPr>
        <w:t>09</w:t>
      </w:r>
      <w:r>
        <w:rPr>
          <w:rFonts w:cs="Times New Roman" w:asciiTheme="minorEastAsia" w:hAnsiTheme="minorEastAsia" w:eastAsiaTheme="minorEastAsia"/>
          <w:color w:val="auto"/>
        </w:rPr>
        <w:t>月</w:t>
      </w:r>
      <w:r>
        <w:rPr>
          <w:rFonts w:hint="eastAsia" w:cs="Times New Roman" w:asciiTheme="minorEastAsia" w:hAnsiTheme="minorEastAsia" w:eastAsiaTheme="minorEastAsia"/>
          <w:color w:val="auto"/>
        </w:rPr>
        <w:t>30</w:t>
      </w:r>
      <w:r>
        <w:rPr>
          <w:rFonts w:cs="Times New Roman" w:asciiTheme="minorEastAsia" w:hAnsiTheme="minorEastAsia" w:eastAsiaTheme="minorEastAsia"/>
          <w:color w:val="auto"/>
        </w:rPr>
        <w:t>日，公司总资产为</w:t>
      </w:r>
      <w:r>
        <w:rPr>
          <w:rFonts w:hint="eastAsia" w:cs="Times New Roman" w:asciiTheme="minorEastAsia" w:hAnsiTheme="minorEastAsia" w:eastAsiaTheme="minorEastAsia"/>
          <w:color w:val="auto"/>
        </w:rPr>
        <w:t>1,807,198.85万</w:t>
      </w:r>
      <w:r>
        <w:rPr>
          <w:rFonts w:cs="Times New Roman" w:asciiTheme="minorEastAsia" w:hAnsiTheme="minorEastAsia" w:eastAsiaTheme="minorEastAsia"/>
          <w:color w:val="auto"/>
        </w:rPr>
        <w:t>元，归属于上市</w:t>
      </w:r>
      <w:r>
        <w:rPr>
          <w:rFonts w:hint="eastAsia" w:cs="Times New Roman" w:asciiTheme="minorEastAsia" w:hAnsiTheme="minorEastAsia" w:eastAsiaTheme="minorEastAsia"/>
          <w:color w:val="auto"/>
        </w:rPr>
        <w:t>公司</w:t>
      </w:r>
      <w:r>
        <w:rPr>
          <w:rFonts w:cs="Times New Roman" w:asciiTheme="minorEastAsia" w:hAnsiTheme="minorEastAsia" w:eastAsiaTheme="minorEastAsia"/>
          <w:color w:val="auto"/>
        </w:rPr>
        <w:t>股东的净资产为</w:t>
      </w:r>
      <w:r>
        <w:rPr>
          <w:rFonts w:hint="eastAsia" w:cs="Times New Roman" w:asciiTheme="minorEastAsia" w:hAnsiTheme="minorEastAsia" w:eastAsiaTheme="minorEastAsia"/>
          <w:color w:val="auto"/>
        </w:rPr>
        <w:t>700,191.91万</w:t>
      </w:r>
      <w:r>
        <w:rPr>
          <w:rFonts w:cs="Times New Roman" w:asciiTheme="minorEastAsia" w:hAnsiTheme="minorEastAsia" w:eastAsiaTheme="minorEastAsia"/>
          <w:color w:val="auto"/>
        </w:rPr>
        <w:t>元，20</w:t>
      </w:r>
      <w:r>
        <w:rPr>
          <w:rFonts w:hint="eastAsia" w:cs="Times New Roman" w:asciiTheme="minorEastAsia" w:hAnsiTheme="minorEastAsia" w:eastAsiaTheme="minorEastAsia"/>
          <w:color w:val="auto"/>
        </w:rPr>
        <w:t>22</w:t>
      </w:r>
      <w:r>
        <w:rPr>
          <w:rFonts w:cs="Times New Roman" w:asciiTheme="minorEastAsia" w:hAnsiTheme="minorEastAsia" w:eastAsiaTheme="minorEastAsia"/>
          <w:color w:val="auto"/>
        </w:rPr>
        <w:t>年1-</w:t>
      </w:r>
      <w:r>
        <w:rPr>
          <w:rFonts w:hint="eastAsia" w:cs="Times New Roman" w:asciiTheme="minorEastAsia" w:hAnsiTheme="minorEastAsia" w:eastAsiaTheme="minorEastAsia"/>
          <w:color w:val="auto"/>
        </w:rPr>
        <w:t>9</w:t>
      </w:r>
      <w:r>
        <w:rPr>
          <w:rFonts w:cs="Times New Roman" w:asciiTheme="minorEastAsia" w:hAnsiTheme="minorEastAsia" w:eastAsiaTheme="minorEastAsia"/>
          <w:color w:val="auto"/>
        </w:rPr>
        <w:t>月公司实现营业总收入</w:t>
      </w:r>
      <w:r>
        <w:rPr>
          <w:rFonts w:hint="eastAsia" w:cs="Times New Roman" w:asciiTheme="minorEastAsia" w:hAnsiTheme="minorEastAsia" w:eastAsiaTheme="minorEastAsia"/>
          <w:color w:val="auto"/>
        </w:rPr>
        <w:t>1,330,155.93万</w:t>
      </w:r>
      <w:r>
        <w:rPr>
          <w:rFonts w:cs="Times New Roman" w:asciiTheme="minorEastAsia" w:hAnsiTheme="minorEastAsia" w:eastAsiaTheme="minorEastAsia"/>
          <w:color w:val="auto"/>
        </w:rPr>
        <w:t>元，归属于上市公司股东的净利润为</w:t>
      </w:r>
      <w:r>
        <w:rPr>
          <w:rFonts w:hint="eastAsia" w:cs="Times New Roman" w:asciiTheme="minorEastAsia" w:hAnsiTheme="minorEastAsia" w:eastAsiaTheme="minorEastAsia"/>
          <w:color w:val="auto"/>
        </w:rPr>
        <w:t>30,055.05万</w:t>
      </w:r>
      <w:r>
        <w:rPr>
          <w:rFonts w:cs="Times New Roman" w:asciiTheme="minorEastAsia" w:hAnsiTheme="minorEastAsia" w:eastAsiaTheme="minorEastAsia"/>
          <w:color w:val="auto"/>
        </w:rPr>
        <w:t>元。若回购资金总额的上限人民币</w:t>
      </w:r>
      <w:r>
        <w:rPr>
          <w:rFonts w:hint="eastAsia" w:cs="Times New Roman" w:asciiTheme="minorEastAsia" w:hAnsiTheme="minorEastAsia" w:eastAsiaTheme="minorEastAsia"/>
          <w:color w:val="auto"/>
        </w:rPr>
        <w:t>20,000万</w:t>
      </w:r>
      <w:r>
        <w:rPr>
          <w:rFonts w:cs="Times New Roman" w:asciiTheme="minorEastAsia" w:hAnsiTheme="minorEastAsia" w:eastAsiaTheme="minorEastAsia"/>
          <w:color w:val="auto"/>
        </w:rPr>
        <w:t>元全部使用完毕，按20</w:t>
      </w:r>
      <w:r>
        <w:rPr>
          <w:rFonts w:hint="eastAsia" w:cs="Times New Roman" w:asciiTheme="minorEastAsia" w:hAnsiTheme="minorEastAsia" w:eastAsiaTheme="minorEastAsia"/>
          <w:color w:val="auto"/>
        </w:rPr>
        <w:t>22</w:t>
      </w:r>
      <w:r>
        <w:rPr>
          <w:rFonts w:cs="Times New Roman" w:asciiTheme="minorEastAsia" w:hAnsiTheme="minorEastAsia" w:eastAsiaTheme="minorEastAsia"/>
          <w:color w:val="auto"/>
        </w:rPr>
        <w:t>年0</w:t>
      </w:r>
      <w:r>
        <w:rPr>
          <w:rFonts w:hint="eastAsia" w:cs="Times New Roman" w:asciiTheme="minorEastAsia" w:hAnsiTheme="minorEastAsia" w:eastAsiaTheme="minorEastAsia"/>
          <w:color w:val="auto"/>
        </w:rPr>
        <w:t>9</w:t>
      </w:r>
      <w:r>
        <w:rPr>
          <w:rFonts w:cs="Times New Roman" w:asciiTheme="minorEastAsia" w:hAnsiTheme="minorEastAsia" w:eastAsiaTheme="minorEastAsia"/>
          <w:color w:val="auto"/>
        </w:rPr>
        <w:t>月30日的财务数据测算，回购资金约占公司总资产的比重为</w:t>
      </w:r>
      <w:r>
        <w:rPr>
          <w:rFonts w:hint="eastAsia" w:cs="Times New Roman" w:asciiTheme="minorEastAsia" w:hAnsiTheme="minorEastAsia" w:eastAsiaTheme="minorEastAsia"/>
          <w:color w:val="auto"/>
        </w:rPr>
        <w:t>1.11</w:t>
      </w:r>
      <w:r>
        <w:rPr>
          <w:rFonts w:cs="Times New Roman" w:asciiTheme="minorEastAsia" w:hAnsiTheme="minorEastAsia" w:eastAsiaTheme="minorEastAsia"/>
          <w:color w:val="auto"/>
        </w:rPr>
        <w:t>%、约占归属于上市股东的净资产的比重为</w:t>
      </w:r>
      <w:r>
        <w:rPr>
          <w:rFonts w:hint="eastAsia" w:cs="Times New Roman" w:asciiTheme="minorEastAsia" w:hAnsiTheme="minorEastAsia" w:eastAsiaTheme="minorEastAsia"/>
          <w:color w:val="auto"/>
        </w:rPr>
        <w:t>2.86</w:t>
      </w:r>
      <w:r>
        <w:rPr>
          <w:rFonts w:cs="Times New Roman" w:asciiTheme="minorEastAsia" w:hAnsiTheme="minorEastAsia" w:eastAsiaTheme="minorEastAsia"/>
          <w:color w:val="auto"/>
        </w:rPr>
        <w:t>%。</w:t>
      </w:r>
    </w:p>
    <w:p>
      <w:pPr>
        <w:pStyle w:val="14"/>
        <w:spacing w:line="500" w:lineRule="exact"/>
        <w:ind w:firstLine="424" w:firstLineChars="177"/>
        <w:rPr>
          <w:rFonts w:cs="Times New Roman" w:asciiTheme="minorEastAsia" w:hAnsiTheme="minorEastAsia" w:eastAsiaTheme="minorEastAsia"/>
          <w:color w:val="auto"/>
        </w:rPr>
      </w:pPr>
      <w:r>
        <w:rPr>
          <w:rFonts w:cs="Times New Roman" w:asciiTheme="minorEastAsia" w:hAnsiTheme="minorEastAsia" w:eastAsiaTheme="minorEastAsia"/>
          <w:color w:val="auto"/>
        </w:rPr>
        <w:t>公司的财务状况良好，根据公司经营及未来发展情况，公司</w:t>
      </w:r>
      <w:r>
        <w:rPr>
          <w:rFonts w:hint="eastAsia" w:cs="Times New Roman" w:asciiTheme="minorEastAsia" w:hAnsiTheme="minorEastAsia" w:eastAsiaTheme="minorEastAsia"/>
          <w:color w:val="auto"/>
        </w:rPr>
        <w:t>董事会</w:t>
      </w:r>
      <w:r>
        <w:rPr>
          <w:rFonts w:cs="Times New Roman" w:asciiTheme="minorEastAsia" w:hAnsiTheme="minorEastAsia" w:eastAsiaTheme="minorEastAsia"/>
          <w:color w:val="auto"/>
        </w:rPr>
        <w:t>认为以不超过人民币</w:t>
      </w:r>
      <w:r>
        <w:rPr>
          <w:rFonts w:hint="eastAsia" w:cs="Times New Roman" w:asciiTheme="minorEastAsia" w:hAnsiTheme="minorEastAsia" w:eastAsiaTheme="minorEastAsia"/>
          <w:color w:val="auto"/>
        </w:rPr>
        <w:t>20,000万</w:t>
      </w:r>
      <w:r>
        <w:rPr>
          <w:rFonts w:cs="Times New Roman" w:asciiTheme="minorEastAsia" w:hAnsiTheme="minorEastAsia" w:eastAsiaTheme="minorEastAsia"/>
          <w:color w:val="auto"/>
        </w:rPr>
        <w:t>元回购公司股份，不会对公司的经营、财务和未来发展产生重大影响，回购后公司的股权分布情况符合上市条件，不会影响公司的上市地位。</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10</w:t>
      </w:r>
      <w:r>
        <w:rPr>
          <w:rFonts w:cs="Times New Roman" w:asciiTheme="minorEastAsia" w:hAnsiTheme="minorEastAsia" w:eastAsiaTheme="minorEastAsia"/>
          <w:b/>
          <w:color w:val="auto"/>
        </w:rPr>
        <w:t>、上市公司控股股东、实际控制人、董事、监事、高级管理人员在董事会作出回购股份决议前六个月内是否存在买卖本公司股份的行为，是否存在单独或者与他人联合进行内幕交易及操纵市场行为的说明。</w:t>
      </w:r>
      <w:r>
        <w:rPr>
          <w:rFonts w:hint="eastAsia" w:cs="Times New Roman" w:asciiTheme="minorEastAsia" w:hAnsiTheme="minorEastAsia" w:eastAsiaTheme="minorEastAsia"/>
          <w:b/>
          <w:color w:val="auto"/>
        </w:rPr>
        <w:t>以及在回购期间的增减持计划。</w:t>
      </w:r>
    </w:p>
    <w:p>
      <w:pPr>
        <w:pStyle w:val="14"/>
        <w:spacing w:line="500" w:lineRule="exact"/>
        <w:ind w:firstLine="480" w:firstLineChars="200"/>
        <w:rPr>
          <w:rFonts w:cs="Times New Roman" w:asciiTheme="minorEastAsia" w:hAnsiTheme="minorEastAsia" w:eastAsiaTheme="minorEastAsia"/>
          <w:color w:val="auto"/>
        </w:rPr>
      </w:pPr>
      <w:r>
        <w:rPr>
          <w:rFonts w:hint="eastAsia" w:cs="Times New Roman" w:asciiTheme="minorEastAsia" w:hAnsiTheme="minorEastAsia" w:eastAsiaTheme="minorEastAsia"/>
          <w:color w:val="auto"/>
        </w:rPr>
        <w:t>经公司自查，公司董事、监事、高级管理人员，控股股东、实际控制人及其一致行动人在董事会做出回购股份决议前六个月内不存在买卖本公司股份的情况，也不存在单独或者与他人联合进行内幕交易及操纵市场行为。</w:t>
      </w:r>
    </w:p>
    <w:p>
      <w:pPr>
        <w:pStyle w:val="14"/>
        <w:spacing w:line="500" w:lineRule="exact"/>
        <w:ind w:firstLine="480" w:firstLineChars="200"/>
        <w:rPr>
          <w:rFonts w:cs="Times New Roman" w:asciiTheme="minorEastAsia" w:hAnsiTheme="minorEastAsia" w:eastAsiaTheme="minorEastAsia"/>
          <w:color w:val="auto"/>
        </w:rPr>
      </w:pPr>
      <w:r>
        <w:rPr>
          <w:rFonts w:hint="eastAsia" w:cs="Times New Roman" w:asciiTheme="minorEastAsia" w:hAnsiTheme="minorEastAsia" w:eastAsiaTheme="minorEastAsia"/>
          <w:color w:val="auto"/>
        </w:rPr>
        <w:t>截至本公告披露日，公司董事、监事、高级管理人员，控股股东、实际控制人及其一致行动人在回购期间尚无明确的增减持计划，若未来有拟实施股份增减持的计划，公司将按照相关规定及时履行信息披露义务。</w:t>
      </w:r>
    </w:p>
    <w:p>
      <w:pPr>
        <w:pStyle w:val="14"/>
        <w:spacing w:line="500" w:lineRule="exact"/>
        <w:ind w:firstLine="482" w:firstLineChars="200"/>
        <w:rPr>
          <w:rFonts w:cs="Times New Roman" w:asciiTheme="minorEastAsia" w:hAnsiTheme="minorEastAsia" w:eastAsiaTheme="minorEastAsia"/>
          <w:b/>
          <w:color w:val="auto"/>
        </w:rPr>
      </w:pPr>
      <w:r>
        <w:rPr>
          <w:rFonts w:cs="Times New Roman" w:asciiTheme="minorEastAsia" w:hAnsiTheme="minorEastAsia" w:eastAsiaTheme="minorEastAsia"/>
          <w:b/>
          <w:color w:val="auto"/>
        </w:rPr>
        <w:t>1</w:t>
      </w:r>
      <w:r>
        <w:rPr>
          <w:rFonts w:hint="eastAsia" w:cs="Times New Roman" w:asciiTheme="minorEastAsia" w:hAnsiTheme="minorEastAsia" w:eastAsiaTheme="minorEastAsia"/>
          <w:b/>
          <w:color w:val="auto"/>
        </w:rPr>
        <w:t>1</w:t>
      </w:r>
      <w:r>
        <w:rPr>
          <w:rFonts w:cs="Times New Roman" w:asciiTheme="minorEastAsia" w:hAnsiTheme="minorEastAsia" w:eastAsiaTheme="minorEastAsia"/>
          <w:b/>
          <w:color w:val="auto"/>
        </w:rPr>
        <w:t>、本次回购方案的提议人情况</w:t>
      </w:r>
    </w:p>
    <w:p>
      <w:pPr>
        <w:pStyle w:val="14"/>
        <w:spacing w:line="500" w:lineRule="exact"/>
        <w:ind w:firstLine="480" w:firstLineChars="200"/>
        <w:rPr>
          <w:rFonts w:cs="Times New Roman" w:asciiTheme="minorEastAsia" w:hAnsiTheme="minorEastAsia" w:eastAsiaTheme="minorEastAsia"/>
          <w:color w:val="auto"/>
        </w:rPr>
      </w:pPr>
      <w:r>
        <w:rPr>
          <w:rFonts w:cs="Times New Roman" w:asciiTheme="minorEastAsia" w:hAnsiTheme="minorEastAsia" w:eastAsiaTheme="minorEastAsia"/>
          <w:color w:val="auto"/>
        </w:rPr>
        <w:t>本次回购计划的提议人为公司实际控制人、董事长孙伟挺先生。本次回购计划</w:t>
      </w:r>
      <w:r>
        <w:rPr>
          <w:rFonts w:hint="eastAsia" w:cs="Times New Roman" w:asciiTheme="minorEastAsia" w:hAnsiTheme="minorEastAsia" w:eastAsiaTheme="minorEastAsia"/>
          <w:color w:val="auto"/>
        </w:rPr>
        <w:t>由提议人</w:t>
      </w:r>
      <w:r>
        <w:rPr>
          <w:rFonts w:cs="Times New Roman" w:asciiTheme="minorEastAsia" w:hAnsiTheme="minorEastAsia" w:eastAsiaTheme="minorEastAsia"/>
          <w:color w:val="auto"/>
        </w:rPr>
        <w:t>于</w:t>
      </w:r>
      <w:r>
        <w:rPr>
          <w:rFonts w:hint="eastAsia" w:cs="Times New Roman" w:asciiTheme="minorEastAsia" w:hAnsiTheme="minorEastAsia" w:eastAsiaTheme="minorEastAsia"/>
          <w:color w:val="auto"/>
        </w:rPr>
        <w:t>2023</w:t>
      </w:r>
      <w:r>
        <w:rPr>
          <w:rFonts w:cs="Times New Roman" w:asciiTheme="minorEastAsia" w:hAnsiTheme="minorEastAsia" w:eastAsiaTheme="minorEastAsia"/>
          <w:color w:val="auto"/>
        </w:rPr>
        <w:t>年</w:t>
      </w:r>
      <w:r>
        <w:rPr>
          <w:rFonts w:hint="eastAsia" w:cs="Times New Roman" w:asciiTheme="minorEastAsia" w:hAnsiTheme="minorEastAsia" w:eastAsiaTheme="minorEastAsia"/>
          <w:color w:val="auto"/>
        </w:rPr>
        <w:t>3</w:t>
      </w:r>
      <w:r>
        <w:rPr>
          <w:rFonts w:cs="Times New Roman" w:asciiTheme="minorEastAsia" w:hAnsiTheme="minorEastAsia" w:eastAsiaTheme="minorEastAsia"/>
          <w:color w:val="auto"/>
        </w:rPr>
        <w:t>月</w:t>
      </w:r>
      <w:r>
        <w:rPr>
          <w:rFonts w:hint="eastAsia" w:cs="Times New Roman" w:asciiTheme="minorEastAsia" w:hAnsiTheme="minorEastAsia" w:eastAsiaTheme="minorEastAsia"/>
          <w:color w:val="auto"/>
        </w:rPr>
        <w:t>15</w:t>
      </w:r>
      <w:r>
        <w:rPr>
          <w:rFonts w:cs="Times New Roman" w:asciiTheme="minorEastAsia" w:hAnsiTheme="minorEastAsia" w:eastAsiaTheme="minorEastAsia"/>
          <w:color w:val="auto"/>
        </w:rPr>
        <w:t>日提出</w:t>
      </w:r>
      <w:r>
        <w:rPr>
          <w:rFonts w:hint="eastAsia" w:cs="Times New Roman" w:asciiTheme="minorEastAsia" w:hAnsiTheme="minorEastAsia" w:eastAsiaTheme="minorEastAsia"/>
          <w:color w:val="auto"/>
        </w:rPr>
        <w:t>，提议人在提议前六个月内不存在买卖本公司股份的情况。</w:t>
      </w:r>
    </w:p>
    <w:p>
      <w:pPr>
        <w:pStyle w:val="14"/>
        <w:spacing w:line="500" w:lineRule="exact"/>
        <w:ind w:firstLine="480" w:firstLineChars="200"/>
        <w:rPr>
          <w:rFonts w:cs="Times New Roman" w:asciiTheme="minorEastAsia" w:hAnsiTheme="minorEastAsia" w:eastAsiaTheme="minorEastAsia"/>
          <w:color w:val="auto"/>
        </w:rPr>
      </w:pPr>
      <w:r>
        <w:rPr>
          <w:rFonts w:hint="eastAsia" w:cs="Times New Roman" w:asciiTheme="minorEastAsia" w:hAnsiTheme="minorEastAsia" w:eastAsiaTheme="minorEastAsia"/>
          <w:color w:val="auto"/>
        </w:rPr>
        <w:t>提议人不存在单独或者与他人联合进行内幕交易及操纵市场行为。提议人在回购期间无增减持计划，若未来拟实施股份增减持计划，公司将按相关规定及时履行信息披露义务。</w:t>
      </w:r>
    </w:p>
    <w:p>
      <w:pPr>
        <w:pStyle w:val="14"/>
        <w:spacing w:line="500" w:lineRule="exact"/>
        <w:ind w:firstLine="482" w:firstLineChars="20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12、防范侵害债权人利益的相关安排</w:t>
      </w:r>
    </w:p>
    <w:p>
      <w:pPr>
        <w:widowControl/>
        <w:shd w:val="clear" w:color="auto" w:fill="FFFFFF"/>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本次回购的股份将全部用于出售，若公司在股份回购完成后三年内未能实施上述用途，未实施部分股份将履行相关程序予以注销。若发生注销情形，公司注册资本将相应减少，公司将依照《公司法》等相关规定，履行通知债权人等法定程序，充分保障债权人的合法权益。</w:t>
      </w:r>
    </w:p>
    <w:p>
      <w:pPr>
        <w:pStyle w:val="14"/>
        <w:spacing w:line="500" w:lineRule="exact"/>
        <w:ind w:firstLine="482" w:firstLineChars="200"/>
        <w:rPr>
          <w:rFonts w:cs="Times New Roman" w:asciiTheme="minorEastAsia" w:hAnsiTheme="minorEastAsia" w:eastAsiaTheme="minorEastAsia"/>
          <w:b/>
          <w:color w:val="auto"/>
        </w:rPr>
      </w:pPr>
      <w:r>
        <w:rPr>
          <w:rFonts w:cs="Times New Roman" w:asciiTheme="minorEastAsia" w:hAnsiTheme="minorEastAsia" w:eastAsiaTheme="minorEastAsia"/>
          <w:b/>
          <w:color w:val="auto"/>
        </w:rPr>
        <w:t>1</w:t>
      </w:r>
      <w:r>
        <w:rPr>
          <w:rFonts w:hint="eastAsia" w:cs="Times New Roman" w:asciiTheme="minorEastAsia" w:hAnsiTheme="minorEastAsia" w:eastAsiaTheme="minorEastAsia"/>
          <w:b/>
          <w:color w:val="auto"/>
        </w:rPr>
        <w:t>3</w:t>
      </w:r>
      <w:r>
        <w:rPr>
          <w:rFonts w:cs="Times New Roman" w:asciiTheme="minorEastAsia" w:hAnsiTheme="minorEastAsia" w:eastAsiaTheme="minorEastAsia"/>
          <w:b/>
          <w:color w:val="auto"/>
        </w:rPr>
        <w:t>、本次办理股份回购事宜的相关授权</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为保证本次回购股份的顺利实施，公司董事会授权公司董事会秘书办理本次回购社会公众股股份的相关事宜，包括但不限于：</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1</w:t>
      </w:r>
      <w:r>
        <w:rPr>
          <w:rFonts w:hint="eastAsia" w:cs="Times New Roman" w:asciiTheme="minorEastAsia" w:hAnsiTheme="minorEastAsia"/>
          <w:kern w:val="0"/>
          <w:sz w:val="24"/>
          <w:szCs w:val="24"/>
        </w:rPr>
        <w:t>、</w:t>
      </w:r>
      <w:r>
        <w:rPr>
          <w:rFonts w:cs="Times New Roman" w:asciiTheme="minorEastAsia" w:hAnsiTheme="minorEastAsia"/>
          <w:kern w:val="0"/>
          <w:sz w:val="24"/>
          <w:szCs w:val="24"/>
        </w:rPr>
        <w:t>根据上述要求择机回购公司股份，包括回购的时间、价格、数量等</w:t>
      </w:r>
      <w:r>
        <w:rPr>
          <w:rFonts w:hint="eastAsia" w:cs="Times New Roman" w:asciiTheme="minorEastAsia" w:hAnsiTheme="minorEastAsia"/>
          <w:kern w:val="0"/>
          <w:sz w:val="24"/>
          <w:szCs w:val="24"/>
        </w:rPr>
        <w:t>；</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2</w:t>
      </w:r>
      <w:r>
        <w:rPr>
          <w:rFonts w:hint="eastAsia" w:cs="Times New Roman" w:asciiTheme="minorEastAsia" w:hAnsiTheme="minorEastAsia"/>
          <w:kern w:val="0"/>
          <w:sz w:val="24"/>
          <w:szCs w:val="24"/>
        </w:rPr>
        <w:t>、根据实际回购的情况，对公司章程以及其他可能涉及变动的资料及文件条款进行修改，并办理相关报备工作；</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3</w:t>
      </w:r>
      <w:r>
        <w:rPr>
          <w:rFonts w:hint="eastAsia" w:cs="Times New Roman" w:asciiTheme="minorEastAsia" w:hAnsiTheme="minorEastAsia"/>
          <w:kern w:val="0"/>
          <w:sz w:val="24"/>
          <w:szCs w:val="24"/>
        </w:rPr>
        <w:t>、设立回购专用证券账户或其他相关证券账户；</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4</w:t>
      </w:r>
      <w:r>
        <w:rPr>
          <w:rFonts w:hint="eastAsia" w:cs="Times New Roman" w:asciiTheme="minorEastAsia" w:hAnsiTheme="minorEastAsia"/>
          <w:kern w:val="0"/>
          <w:sz w:val="24"/>
          <w:szCs w:val="24"/>
        </w:rPr>
        <w:t>、在相关事项完成后，办理公司章程修改及工商变更登记等事宜；</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5</w:t>
      </w:r>
      <w:r>
        <w:rPr>
          <w:rFonts w:hint="eastAsia" w:cs="Times New Roman" w:asciiTheme="minorEastAsia" w:hAnsiTheme="minorEastAsia"/>
          <w:kern w:val="0"/>
          <w:sz w:val="24"/>
          <w:szCs w:val="24"/>
        </w:rPr>
        <w:t>、依据有关规定办理与本次回购股份有关的其他事宜；</w:t>
      </w:r>
      <w:r>
        <w:rPr>
          <w:rFonts w:cs="Times New Roman" w:asciiTheme="minorEastAsia" w:hAnsiTheme="minorEastAsia"/>
          <w:kern w:val="0"/>
          <w:sz w:val="24"/>
          <w:szCs w:val="24"/>
        </w:rPr>
        <w:t xml:space="preserve"> </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6</w:t>
      </w:r>
      <w:r>
        <w:rPr>
          <w:rFonts w:hint="eastAsia" w:cs="Times New Roman" w:asciiTheme="minorEastAsia" w:hAnsiTheme="minorEastAsia"/>
          <w:kern w:val="0"/>
          <w:sz w:val="24"/>
          <w:szCs w:val="24"/>
        </w:rPr>
        <w:t>、如监管部门对于回购股份的政策发生变化或市场条件发生变化，除涉及有关法律、法规及《公司章程》规定须由董事会重新表决的事项外，对本次回购股份的具体方案等相关事项进行相应调整。</w:t>
      </w:r>
      <w:r>
        <w:rPr>
          <w:rFonts w:cs="Times New Roman" w:asciiTheme="minorEastAsia" w:hAnsiTheme="minorEastAsia"/>
          <w:kern w:val="0"/>
          <w:sz w:val="24"/>
          <w:szCs w:val="24"/>
        </w:rPr>
        <w:t xml:space="preserve"> </w:t>
      </w:r>
    </w:p>
    <w:p>
      <w:pPr>
        <w:pStyle w:val="14"/>
        <w:spacing w:line="500" w:lineRule="exact"/>
        <w:ind w:firstLine="480" w:firstLineChars="200"/>
        <w:rPr>
          <w:rFonts w:asciiTheme="minorEastAsia" w:hAnsiTheme="minorEastAsia" w:eastAsiaTheme="minorEastAsia"/>
          <w:color w:val="auto"/>
        </w:rPr>
      </w:pPr>
      <w:r>
        <w:rPr>
          <w:rFonts w:hint="eastAsia" w:cs="Times New Roman" w:asciiTheme="minorEastAsia" w:hAnsiTheme="minorEastAsia" w:eastAsiaTheme="minorEastAsia"/>
          <w:color w:val="auto"/>
        </w:rPr>
        <w:t>本授权有效期为自董事会通过本次公司回购股份方案之日起至上述授权事项办</w:t>
      </w:r>
      <w:r>
        <w:rPr>
          <w:rFonts w:hint="eastAsia" w:asciiTheme="minorEastAsia" w:hAnsiTheme="minorEastAsia" w:eastAsiaTheme="minorEastAsia"/>
          <w:color w:val="auto"/>
        </w:rPr>
        <w:t>理完毕之日止。</w:t>
      </w:r>
    </w:p>
    <w:p>
      <w:pPr>
        <w:pStyle w:val="14"/>
        <w:spacing w:line="500" w:lineRule="exact"/>
        <w:ind w:firstLine="482" w:firstLineChars="200"/>
        <w:rPr>
          <w:rFonts w:cs="Times New Roman" w:asciiTheme="minorEastAsia" w:hAnsiTheme="minorEastAsia" w:eastAsiaTheme="minorEastAsia"/>
          <w:b/>
          <w:color w:val="auto"/>
        </w:rPr>
      </w:pPr>
      <w:r>
        <w:rPr>
          <w:rFonts w:cs="Times New Roman" w:asciiTheme="minorEastAsia" w:hAnsiTheme="minorEastAsia" w:eastAsiaTheme="minorEastAsia"/>
          <w:b/>
          <w:color w:val="auto"/>
        </w:rPr>
        <w:t>二、回购方案的审议及实施程序</w:t>
      </w:r>
    </w:p>
    <w:p>
      <w:pPr>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本次回购公司股份的方案已经公司</w:t>
      </w:r>
      <w:r>
        <w:rPr>
          <w:rFonts w:hint="eastAsia" w:cs="Times New Roman" w:asciiTheme="minorEastAsia" w:hAnsiTheme="minorEastAsia"/>
          <w:kern w:val="0"/>
          <w:sz w:val="24"/>
          <w:szCs w:val="24"/>
        </w:rPr>
        <w:t>于2023年3月17日召开的</w:t>
      </w:r>
      <w:r>
        <w:rPr>
          <w:rFonts w:cs="Times New Roman" w:asciiTheme="minorEastAsia" w:hAnsiTheme="minorEastAsia"/>
          <w:kern w:val="0"/>
          <w:sz w:val="24"/>
          <w:szCs w:val="24"/>
        </w:rPr>
        <w:t>第</w:t>
      </w:r>
      <w:r>
        <w:rPr>
          <w:rFonts w:hint="eastAsia" w:cs="Times New Roman" w:asciiTheme="minorEastAsia" w:hAnsiTheme="minorEastAsia"/>
          <w:kern w:val="0"/>
          <w:sz w:val="24"/>
          <w:szCs w:val="24"/>
        </w:rPr>
        <w:t>八</w:t>
      </w:r>
      <w:r>
        <w:rPr>
          <w:rFonts w:cs="Times New Roman" w:asciiTheme="minorEastAsia" w:hAnsiTheme="minorEastAsia"/>
          <w:kern w:val="0"/>
          <w:sz w:val="24"/>
          <w:szCs w:val="24"/>
        </w:rPr>
        <w:t>届董事会</w:t>
      </w:r>
      <w:r>
        <w:rPr>
          <w:rFonts w:hint="eastAsia" w:cs="Times New Roman" w:asciiTheme="minorEastAsia" w:hAnsiTheme="minorEastAsia"/>
          <w:kern w:val="0"/>
          <w:sz w:val="24"/>
          <w:szCs w:val="24"/>
        </w:rPr>
        <w:t>2023</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第一次</w:t>
      </w:r>
      <w:r>
        <w:rPr>
          <w:rFonts w:cs="Times New Roman" w:asciiTheme="minorEastAsia" w:hAnsiTheme="minorEastAsia"/>
          <w:kern w:val="0"/>
          <w:sz w:val="24"/>
          <w:szCs w:val="24"/>
        </w:rPr>
        <w:t>临时会议、第</w:t>
      </w:r>
      <w:r>
        <w:rPr>
          <w:rFonts w:hint="eastAsia" w:cs="Times New Roman" w:asciiTheme="minorEastAsia" w:hAnsiTheme="minorEastAsia"/>
          <w:kern w:val="0"/>
          <w:sz w:val="24"/>
          <w:szCs w:val="24"/>
        </w:rPr>
        <w:t>八</w:t>
      </w:r>
      <w:r>
        <w:rPr>
          <w:rFonts w:cs="Times New Roman" w:asciiTheme="minorEastAsia" w:hAnsiTheme="minorEastAsia"/>
          <w:kern w:val="0"/>
          <w:sz w:val="24"/>
          <w:szCs w:val="24"/>
        </w:rPr>
        <w:t>届监事会第</w:t>
      </w:r>
      <w:r>
        <w:rPr>
          <w:rFonts w:hint="eastAsia" w:cs="Times New Roman" w:asciiTheme="minorEastAsia" w:hAnsiTheme="minorEastAsia"/>
          <w:kern w:val="0"/>
          <w:sz w:val="24"/>
          <w:szCs w:val="24"/>
        </w:rPr>
        <w:t>十一</w:t>
      </w:r>
      <w:r>
        <w:rPr>
          <w:rFonts w:cs="Times New Roman" w:asciiTheme="minorEastAsia" w:hAnsiTheme="minorEastAsia"/>
          <w:kern w:val="0"/>
          <w:sz w:val="24"/>
          <w:szCs w:val="24"/>
        </w:rPr>
        <w:t>次会议审议通过。</w:t>
      </w:r>
      <w:r>
        <w:rPr>
          <w:rFonts w:hint="eastAsia" w:cs="Times New Roman" w:asciiTheme="minorEastAsia" w:hAnsiTheme="minorEastAsia"/>
          <w:kern w:val="0"/>
          <w:sz w:val="24"/>
          <w:szCs w:val="24"/>
        </w:rPr>
        <w:t>本次拟回购股份将全部用于出售，且经三分之二以上董事出席的董事会会议决议，根据公司《公司章程》第一百二十条规定，本事项无需提交公司股东大会审议。独立董事已对本次回购事项发表了同意的独立意见。</w:t>
      </w:r>
    </w:p>
    <w:p>
      <w:pPr>
        <w:pStyle w:val="14"/>
        <w:spacing w:line="500" w:lineRule="exact"/>
        <w:ind w:firstLine="482" w:firstLineChars="200"/>
        <w:rPr>
          <w:rFonts w:cs="Times New Roman" w:asciiTheme="minorEastAsia" w:hAnsiTheme="minorEastAsia" w:eastAsiaTheme="minorEastAsia"/>
          <w:b/>
          <w:color w:val="auto"/>
        </w:rPr>
      </w:pPr>
      <w:r>
        <w:rPr>
          <w:rFonts w:cs="Times New Roman" w:asciiTheme="minorEastAsia" w:hAnsiTheme="minorEastAsia" w:eastAsiaTheme="minorEastAsia"/>
          <w:b/>
          <w:color w:val="auto"/>
        </w:rPr>
        <w:t>三、回购方案的风险提示</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1、公司股票价格持续超出回购方案披露的价格上限，导致回购方案无法实施的风险。</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2、本次回购存在因回购股份所需资金未能筹措到位，导致回购方案无法实施的风险；</w:t>
      </w:r>
    </w:p>
    <w:p>
      <w:pPr>
        <w:wordWrap w:val="0"/>
        <w:autoSpaceDE w:val="0"/>
        <w:autoSpaceDN w:val="0"/>
        <w:adjustRightInd w:val="0"/>
        <w:spacing w:line="500" w:lineRule="exact"/>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本次回购股份按照有关规定将采用集中竞价交易方式出售，若因相关情况变化，公司未能实施上述用途，存在变更用途的风险。如未使用部分依法注销，存在债权人要求公司提前清偿债务或要求公司提供相应担保的风险。</w:t>
      </w:r>
    </w:p>
    <w:p>
      <w:pPr>
        <w:wordWrap w:val="0"/>
        <w:autoSpaceDE w:val="0"/>
        <w:autoSpaceDN w:val="0"/>
        <w:adjustRightInd w:val="0"/>
        <w:spacing w:line="500" w:lineRule="exact"/>
        <w:ind w:firstLine="480" w:firstLineChars="200"/>
        <w:rPr>
          <w:rFonts w:cs="Times New Roman" w:asciiTheme="minorEastAsia" w:hAnsiTheme="minorEastAsia"/>
          <w:kern w:val="0"/>
          <w:sz w:val="24"/>
          <w:szCs w:val="24"/>
        </w:rPr>
      </w:pPr>
      <w:r>
        <w:rPr>
          <w:rFonts w:hint="eastAsia" w:cs="宋体" w:asciiTheme="minorEastAsia" w:hAnsiTheme="minorEastAsia"/>
          <w:kern w:val="0"/>
          <w:sz w:val="24"/>
          <w:szCs w:val="24"/>
        </w:rPr>
        <w:t>4、可能存在因公司生产经营、财务状况、外部客观情况发生重大变化等原因，根据规则变更或终止回购方案的风险。</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cs="Times New Roman" w:asciiTheme="minorEastAsia" w:hAnsiTheme="minorEastAsia"/>
          <w:kern w:val="0"/>
          <w:sz w:val="24"/>
          <w:szCs w:val="24"/>
        </w:rPr>
        <w:t>如出现上述情况导致回购计划无法实施，公司将及时披露相应进展公告。请投资者注意风险。</w:t>
      </w:r>
    </w:p>
    <w:p>
      <w:pPr>
        <w:autoSpaceDE w:val="0"/>
        <w:autoSpaceDN w:val="0"/>
        <w:adjustRightInd w:val="0"/>
        <w:spacing w:line="500" w:lineRule="exact"/>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四、独立董事意见</w:t>
      </w:r>
    </w:p>
    <w:p>
      <w:pPr>
        <w:autoSpaceDE w:val="0"/>
        <w:autoSpaceDN w:val="0"/>
        <w:adjustRightInd w:val="0"/>
        <w:spacing w:line="480" w:lineRule="exact"/>
        <w:ind w:firstLine="480" w:firstLineChars="200"/>
        <w:jc w:val="left"/>
        <w:rPr>
          <w:rFonts w:asciiTheme="minorEastAsia" w:hAnsiTheme="minorEastAsia"/>
          <w:kern w:val="0"/>
          <w:sz w:val="24"/>
          <w:szCs w:val="24"/>
        </w:rPr>
      </w:pPr>
      <w:r>
        <w:rPr>
          <w:rFonts w:hint="eastAsia" w:cs="Times New Roman" w:asciiTheme="minorEastAsia" w:hAnsiTheme="minorEastAsia"/>
          <w:kern w:val="0"/>
          <w:sz w:val="24"/>
          <w:szCs w:val="24"/>
        </w:rPr>
        <w:t>1、</w:t>
      </w:r>
      <w:r>
        <w:rPr>
          <w:rFonts w:hint="eastAsia" w:asciiTheme="minorEastAsia" w:hAnsiTheme="minorEastAsia"/>
          <w:kern w:val="0"/>
          <w:sz w:val="24"/>
          <w:szCs w:val="24"/>
        </w:rPr>
        <w:t>公司本次回购股份符合《中华人民共和国公司法》、《中华人民共和国证券法》、《深圳证券交易所股票上市规则》、《上市公司股份回购规则》《上市公司自律监管指引第9号——回购股份》等法律、法规和规范性文件及《公司章程》的有关规定。审议该事项的董事会会议表决程序合法、合规。</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2、公司本次回购股份将全部用于出售，是以维护公司价值和股东权益所必需。公司本次回购股份具有必要性。</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3、公司本次拟使用自有资金以集中竞价交易方式进行回购，回购资金总额不低于人民币10,000万元，不超过人民币20,000万元，根据公司目前经营、财务及未来发展规划，本次回购股份不会对公司的经营活动、财务状况及未来重大发展产生重大影响，不会影响公司的上市地位，不存在损害公司及全体股东，特别是中小股东利益的情形。回购股份方案合理、可行。</w:t>
      </w:r>
    </w:p>
    <w:p>
      <w:pPr>
        <w:autoSpaceDE w:val="0"/>
        <w:autoSpaceDN w:val="0"/>
        <w:adjustRightInd w:val="0"/>
        <w:spacing w:line="500" w:lineRule="exact"/>
        <w:ind w:firstLine="480" w:firstLineChars="200"/>
        <w:jc w:val="left"/>
        <w:rPr>
          <w:rFonts w:cs="Times New Roman" w:asciiTheme="minorEastAsia" w:hAnsiTheme="minorEastAsia"/>
          <w:kern w:val="0"/>
          <w:sz w:val="24"/>
          <w:szCs w:val="24"/>
        </w:rPr>
      </w:pPr>
      <w:r>
        <w:rPr>
          <w:rFonts w:hint="eastAsia" w:cs="Times New Roman" w:asciiTheme="minorEastAsia" w:hAnsiTheme="minorEastAsia"/>
          <w:kern w:val="0"/>
          <w:sz w:val="24"/>
          <w:szCs w:val="24"/>
        </w:rPr>
        <w:t>综上所述，独立董事一致认为公司本次回购股份合法合规，回购股份方案具备必要性、合理性和可行性，符合公司和全体股东的利益，同意本次回购股份方案。</w:t>
      </w:r>
    </w:p>
    <w:p>
      <w:pPr>
        <w:pStyle w:val="14"/>
        <w:spacing w:line="500" w:lineRule="exact"/>
        <w:ind w:firstLine="482" w:firstLineChars="200"/>
        <w:rPr>
          <w:rFonts w:ascii="Times New Roman" w:hAnsi="Times New Roman" w:cs="Times New Roman" w:eastAsiaTheme="minorEastAsia"/>
          <w:b/>
          <w:color w:val="auto"/>
        </w:rPr>
      </w:pPr>
      <w:r>
        <w:rPr>
          <w:rFonts w:hint="eastAsia" w:ascii="Times New Roman" w:hAnsi="Times New Roman" w:cs="Times New Roman" w:eastAsiaTheme="minorEastAsia"/>
          <w:b/>
          <w:color w:val="auto"/>
        </w:rPr>
        <w:t>五、其他事项说明</w:t>
      </w:r>
    </w:p>
    <w:p>
      <w:pPr>
        <w:widowControl/>
        <w:spacing w:line="500" w:lineRule="exact"/>
        <w:ind w:firstLine="480" w:firstLineChars="200"/>
        <w:jc w:val="left"/>
        <w:rPr>
          <w:rFonts w:hint="eastAsia" w:ascii="Times New Roman" w:hAnsi="Times New Roman" w:cs="Times New Roman"/>
          <w:kern w:val="0"/>
          <w:sz w:val="24"/>
          <w:szCs w:val="24"/>
        </w:rPr>
      </w:pPr>
      <w:r>
        <w:rPr>
          <w:rFonts w:hint="eastAsia" w:ascii="Times New Roman" w:hAnsi="Times New Roman" w:cs="Times New Roman"/>
          <w:kern w:val="0"/>
          <w:sz w:val="24"/>
          <w:szCs w:val="24"/>
        </w:rPr>
        <w:t>根据相关规定，公司已在中国证券登记结算有限责任公司深圳分公司完成了 股份回购专户的开设，该账户仅用于回购公司股份。</w:t>
      </w:r>
    </w:p>
    <w:p>
      <w:pPr>
        <w:widowControl/>
        <w:spacing w:line="500" w:lineRule="exact"/>
        <w:ind w:firstLine="480" w:firstLineChars="200"/>
        <w:jc w:val="left"/>
        <w:rPr>
          <w:rFonts w:ascii="Times New Roman" w:hAnsi="Times New Roman" w:cs="Times New Roman"/>
          <w:kern w:val="0"/>
          <w:sz w:val="24"/>
          <w:szCs w:val="24"/>
        </w:rPr>
      </w:pPr>
      <w:r>
        <w:rPr>
          <w:rFonts w:hint="eastAsia" w:ascii="Times New Roman" w:hAnsi="Times New Roman" w:cs="Times New Roman"/>
          <w:kern w:val="0"/>
          <w:sz w:val="24"/>
          <w:szCs w:val="24"/>
        </w:rPr>
        <w:t>公司将根据相关法律、法规和规范性文件的规定，在实施回购期间及时履行信息披露义务并将在定期报告中公布回购进展情况。</w:t>
      </w:r>
    </w:p>
    <w:p>
      <w:pPr>
        <w:pStyle w:val="14"/>
        <w:spacing w:line="500" w:lineRule="exact"/>
        <w:ind w:firstLine="482" w:firstLineChars="200"/>
        <w:rPr>
          <w:rFonts w:ascii="Times New Roman" w:hAnsi="Times New Roman" w:cs="Times New Roman" w:eastAsiaTheme="minorEastAsia"/>
          <w:b/>
          <w:color w:val="auto"/>
        </w:rPr>
      </w:pPr>
      <w:r>
        <w:rPr>
          <w:rFonts w:hint="eastAsia" w:ascii="Times New Roman" w:hAnsi="Times New Roman" w:cs="Times New Roman" w:eastAsiaTheme="minorEastAsia"/>
          <w:b/>
          <w:color w:val="auto"/>
        </w:rPr>
        <w:t>六、</w:t>
      </w:r>
      <w:r>
        <w:rPr>
          <w:rFonts w:ascii="Times New Roman" w:hAnsi="Times New Roman" w:cs="Times New Roman" w:eastAsiaTheme="minorEastAsia"/>
          <w:b/>
          <w:color w:val="auto"/>
        </w:rPr>
        <w:t>备查文件</w:t>
      </w:r>
    </w:p>
    <w:p>
      <w:pPr>
        <w:widowControl/>
        <w:spacing w:line="50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第八届董事会2023年第一次临时</w:t>
      </w:r>
      <w:r>
        <w:rPr>
          <w:rFonts w:hint="eastAsia" w:ascii="Times New Roman" w:hAnsi="Times New Roman" w:cs="Times New Roman"/>
          <w:kern w:val="0"/>
          <w:sz w:val="24"/>
          <w:szCs w:val="24"/>
          <w:lang w:eastAsia="zh-CN"/>
        </w:rPr>
        <w:t>会议</w:t>
      </w:r>
      <w:r>
        <w:rPr>
          <w:rFonts w:ascii="Times New Roman" w:hAnsi="Times New Roman" w:cs="Times New Roman"/>
          <w:kern w:val="0"/>
          <w:sz w:val="24"/>
          <w:szCs w:val="24"/>
        </w:rPr>
        <w:t>决议；</w:t>
      </w:r>
    </w:p>
    <w:p>
      <w:pPr>
        <w:widowControl/>
        <w:spacing w:line="50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2、独立董事</w:t>
      </w:r>
      <w:r>
        <w:rPr>
          <w:rFonts w:hint="eastAsia" w:ascii="Times New Roman" w:hAnsi="Times New Roman" w:cs="Times New Roman"/>
          <w:kern w:val="0"/>
          <w:sz w:val="24"/>
          <w:szCs w:val="24"/>
        </w:rPr>
        <w:t>关于公司第八届董事会2023年第一次临时</w:t>
      </w:r>
      <w:r>
        <w:rPr>
          <w:rFonts w:hint="eastAsia" w:ascii="Times New Roman" w:hAnsi="Times New Roman" w:cs="Times New Roman"/>
          <w:kern w:val="0"/>
          <w:sz w:val="24"/>
          <w:szCs w:val="24"/>
          <w:lang w:eastAsia="zh-CN"/>
        </w:rPr>
        <w:t>会议</w:t>
      </w:r>
      <w:r>
        <w:rPr>
          <w:rFonts w:hint="eastAsia" w:ascii="Times New Roman" w:hAnsi="Times New Roman" w:cs="Times New Roman"/>
          <w:kern w:val="0"/>
          <w:sz w:val="24"/>
          <w:szCs w:val="24"/>
        </w:rPr>
        <w:t>相关事项的</w:t>
      </w:r>
      <w:r>
        <w:rPr>
          <w:rFonts w:ascii="Times New Roman" w:hAnsi="Times New Roman" w:cs="Times New Roman"/>
          <w:kern w:val="0"/>
          <w:sz w:val="24"/>
          <w:szCs w:val="24"/>
        </w:rPr>
        <w:t>独立意见。</w:t>
      </w:r>
    </w:p>
    <w:p>
      <w:pPr>
        <w:spacing w:line="500" w:lineRule="exact"/>
        <w:ind w:firstLine="480" w:firstLineChars="200"/>
        <w:jc w:val="right"/>
        <w:rPr>
          <w:rFonts w:ascii="Times New Roman" w:hAnsi="Times New Roman" w:cs="Times New Roman"/>
          <w:kern w:val="0"/>
          <w:sz w:val="24"/>
          <w:szCs w:val="24"/>
        </w:rPr>
      </w:pPr>
    </w:p>
    <w:p>
      <w:pPr>
        <w:spacing w:line="500" w:lineRule="exact"/>
        <w:ind w:firstLine="480" w:firstLineChars="200"/>
        <w:jc w:val="right"/>
        <w:rPr>
          <w:rFonts w:ascii="Times New Roman" w:hAnsi="Times New Roman" w:cs="Times New Roman"/>
          <w:kern w:val="0"/>
          <w:sz w:val="24"/>
          <w:szCs w:val="24"/>
        </w:rPr>
      </w:pPr>
      <w:r>
        <w:rPr>
          <w:rFonts w:ascii="Times New Roman" w:hAnsi="Times New Roman" w:cs="Times New Roman"/>
          <w:kern w:val="0"/>
          <w:sz w:val="24"/>
          <w:szCs w:val="24"/>
        </w:rPr>
        <w:t>华孚时尚股份有限公司董事会</w:t>
      </w:r>
    </w:p>
    <w:p>
      <w:pPr>
        <w:tabs>
          <w:tab w:val="left" w:pos="2268"/>
        </w:tabs>
        <w:wordWrap w:val="0"/>
        <w:spacing w:line="500" w:lineRule="exact"/>
        <w:ind w:firstLine="480" w:firstLineChars="200"/>
        <w:jc w:val="right"/>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二〇</w:t>
      </w:r>
      <w:r>
        <w:rPr>
          <w:rFonts w:hint="eastAsia" w:ascii="Times New Roman" w:hAnsi="Times New Roman" w:cs="Times New Roman"/>
          <w:kern w:val="0"/>
          <w:sz w:val="24"/>
          <w:szCs w:val="24"/>
          <w:highlight w:val="none"/>
        </w:rPr>
        <w:t>二三</w:t>
      </w:r>
      <w:r>
        <w:rPr>
          <w:rFonts w:ascii="Times New Roman" w:hAnsi="Times New Roman" w:cs="Times New Roman"/>
          <w:kern w:val="0"/>
          <w:sz w:val="24"/>
          <w:szCs w:val="24"/>
          <w:highlight w:val="none"/>
        </w:rPr>
        <w:t>年</w:t>
      </w:r>
      <w:r>
        <w:rPr>
          <w:rFonts w:hint="eastAsia" w:ascii="Times New Roman" w:hAnsi="Times New Roman" w:cs="Times New Roman"/>
          <w:kern w:val="0"/>
          <w:sz w:val="24"/>
          <w:szCs w:val="24"/>
          <w:highlight w:val="none"/>
        </w:rPr>
        <w:t>三</w:t>
      </w:r>
      <w:r>
        <w:rPr>
          <w:rFonts w:ascii="Times New Roman" w:hAnsi="Times New Roman" w:cs="Times New Roman"/>
          <w:kern w:val="0"/>
          <w:sz w:val="24"/>
          <w:szCs w:val="24"/>
          <w:highlight w:val="none"/>
        </w:rPr>
        <w:t>月</w:t>
      </w:r>
      <w:r>
        <w:rPr>
          <w:rFonts w:hint="eastAsia" w:ascii="Times New Roman" w:hAnsi="Times New Roman" w:cs="Times New Roman"/>
          <w:kern w:val="0"/>
          <w:sz w:val="24"/>
          <w:szCs w:val="24"/>
          <w:highlight w:val="none"/>
          <w:lang w:eastAsia="zh-CN"/>
        </w:rPr>
        <w:t>二十一</w:t>
      </w:r>
      <w:r>
        <w:rPr>
          <w:rFonts w:ascii="Times New Roman" w:hAnsi="Times New Roman" w:cs="Times New Roman"/>
          <w:kern w:val="0"/>
          <w:sz w:val="24"/>
          <w:szCs w:val="24"/>
          <w:highlight w:val="none"/>
        </w:rPr>
        <w:t>日</w:t>
      </w:r>
    </w:p>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125B9"/>
    <w:rsid w:val="00020F05"/>
    <w:rsid w:val="00026486"/>
    <w:rsid w:val="00044D81"/>
    <w:rsid w:val="000515A3"/>
    <w:rsid w:val="00090865"/>
    <w:rsid w:val="000A25A8"/>
    <w:rsid w:val="000C362A"/>
    <w:rsid w:val="000C52C8"/>
    <w:rsid w:val="000E74D6"/>
    <w:rsid w:val="000F60EC"/>
    <w:rsid w:val="000F68EA"/>
    <w:rsid w:val="00110CA2"/>
    <w:rsid w:val="00111165"/>
    <w:rsid w:val="00113759"/>
    <w:rsid w:val="00117094"/>
    <w:rsid w:val="00146347"/>
    <w:rsid w:val="001563E9"/>
    <w:rsid w:val="00160828"/>
    <w:rsid w:val="00171561"/>
    <w:rsid w:val="00183417"/>
    <w:rsid w:val="001834CB"/>
    <w:rsid w:val="00183F25"/>
    <w:rsid w:val="001A1C1F"/>
    <w:rsid w:val="001A2CD2"/>
    <w:rsid w:val="001C3807"/>
    <w:rsid w:val="0020501C"/>
    <w:rsid w:val="00232225"/>
    <w:rsid w:val="00243212"/>
    <w:rsid w:val="00246DC4"/>
    <w:rsid w:val="00261B3D"/>
    <w:rsid w:val="002742C2"/>
    <w:rsid w:val="00287EF9"/>
    <w:rsid w:val="00291FB4"/>
    <w:rsid w:val="00295307"/>
    <w:rsid w:val="002B4D3F"/>
    <w:rsid w:val="002D0A65"/>
    <w:rsid w:val="002D769D"/>
    <w:rsid w:val="002E4AAA"/>
    <w:rsid w:val="00305508"/>
    <w:rsid w:val="00307A0B"/>
    <w:rsid w:val="00345818"/>
    <w:rsid w:val="00366016"/>
    <w:rsid w:val="00367D7E"/>
    <w:rsid w:val="003802DE"/>
    <w:rsid w:val="00391A88"/>
    <w:rsid w:val="003E00A1"/>
    <w:rsid w:val="003E18DB"/>
    <w:rsid w:val="003E3AAF"/>
    <w:rsid w:val="004011FC"/>
    <w:rsid w:val="004114DA"/>
    <w:rsid w:val="004311AF"/>
    <w:rsid w:val="00436F7C"/>
    <w:rsid w:val="004573B7"/>
    <w:rsid w:val="004605E4"/>
    <w:rsid w:val="004653F6"/>
    <w:rsid w:val="004755C4"/>
    <w:rsid w:val="00485A65"/>
    <w:rsid w:val="00490F62"/>
    <w:rsid w:val="0049293C"/>
    <w:rsid w:val="004967AD"/>
    <w:rsid w:val="004A5CEA"/>
    <w:rsid w:val="004C48BA"/>
    <w:rsid w:val="004D6945"/>
    <w:rsid w:val="004E27DB"/>
    <w:rsid w:val="004E7761"/>
    <w:rsid w:val="004F006C"/>
    <w:rsid w:val="004F4193"/>
    <w:rsid w:val="00514C3E"/>
    <w:rsid w:val="00520E8C"/>
    <w:rsid w:val="00522913"/>
    <w:rsid w:val="005260F7"/>
    <w:rsid w:val="00534CFF"/>
    <w:rsid w:val="005363B3"/>
    <w:rsid w:val="00541EFC"/>
    <w:rsid w:val="00543475"/>
    <w:rsid w:val="00545E3A"/>
    <w:rsid w:val="0054670A"/>
    <w:rsid w:val="00550F3F"/>
    <w:rsid w:val="00566027"/>
    <w:rsid w:val="00567029"/>
    <w:rsid w:val="00571393"/>
    <w:rsid w:val="00571B4D"/>
    <w:rsid w:val="00576D9B"/>
    <w:rsid w:val="00583371"/>
    <w:rsid w:val="00592052"/>
    <w:rsid w:val="005A63F8"/>
    <w:rsid w:val="005B4A88"/>
    <w:rsid w:val="005C474E"/>
    <w:rsid w:val="005C60FB"/>
    <w:rsid w:val="005C6441"/>
    <w:rsid w:val="005E0616"/>
    <w:rsid w:val="005E48DA"/>
    <w:rsid w:val="005E5DF6"/>
    <w:rsid w:val="005E785C"/>
    <w:rsid w:val="0060371E"/>
    <w:rsid w:val="006125B9"/>
    <w:rsid w:val="00630782"/>
    <w:rsid w:val="00642779"/>
    <w:rsid w:val="00654C55"/>
    <w:rsid w:val="00666BB4"/>
    <w:rsid w:val="006718B4"/>
    <w:rsid w:val="006725A2"/>
    <w:rsid w:val="00677B15"/>
    <w:rsid w:val="006822AB"/>
    <w:rsid w:val="006A34A4"/>
    <w:rsid w:val="006A6DBD"/>
    <w:rsid w:val="006B0955"/>
    <w:rsid w:val="006C7920"/>
    <w:rsid w:val="006D7CE5"/>
    <w:rsid w:val="006E0045"/>
    <w:rsid w:val="006E393A"/>
    <w:rsid w:val="006E3BE1"/>
    <w:rsid w:val="006E6EB8"/>
    <w:rsid w:val="006E74D9"/>
    <w:rsid w:val="006F0193"/>
    <w:rsid w:val="006F2AB9"/>
    <w:rsid w:val="00701A90"/>
    <w:rsid w:val="007071C5"/>
    <w:rsid w:val="007308AF"/>
    <w:rsid w:val="00744D14"/>
    <w:rsid w:val="00760522"/>
    <w:rsid w:val="007636B5"/>
    <w:rsid w:val="007961C9"/>
    <w:rsid w:val="007A5592"/>
    <w:rsid w:val="007F5FA6"/>
    <w:rsid w:val="008206A8"/>
    <w:rsid w:val="00824DC6"/>
    <w:rsid w:val="00832685"/>
    <w:rsid w:val="00841BE8"/>
    <w:rsid w:val="00846A8C"/>
    <w:rsid w:val="00862721"/>
    <w:rsid w:val="00862A46"/>
    <w:rsid w:val="00876AA1"/>
    <w:rsid w:val="00883E38"/>
    <w:rsid w:val="008B7785"/>
    <w:rsid w:val="008C75BA"/>
    <w:rsid w:val="008F742F"/>
    <w:rsid w:val="00914B09"/>
    <w:rsid w:val="00921D2B"/>
    <w:rsid w:val="00931A02"/>
    <w:rsid w:val="00933315"/>
    <w:rsid w:val="00961DC3"/>
    <w:rsid w:val="00966E60"/>
    <w:rsid w:val="009B24BB"/>
    <w:rsid w:val="009C1DE0"/>
    <w:rsid w:val="009D0419"/>
    <w:rsid w:val="009E1BBD"/>
    <w:rsid w:val="009E5F89"/>
    <w:rsid w:val="009F6BAB"/>
    <w:rsid w:val="00A0054F"/>
    <w:rsid w:val="00A22881"/>
    <w:rsid w:val="00A43A80"/>
    <w:rsid w:val="00A47E16"/>
    <w:rsid w:val="00A6415E"/>
    <w:rsid w:val="00A7323F"/>
    <w:rsid w:val="00A76263"/>
    <w:rsid w:val="00A95370"/>
    <w:rsid w:val="00AC591E"/>
    <w:rsid w:val="00AD737C"/>
    <w:rsid w:val="00AE3B72"/>
    <w:rsid w:val="00AF6823"/>
    <w:rsid w:val="00B03711"/>
    <w:rsid w:val="00B217D3"/>
    <w:rsid w:val="00B22311"/>
    <w:rsid w:val="00B22396"/>
    <w:rsid w:val="00B27465"/>
    <w:rsid w:val="00B305BE"/>
    <w:rsid w:val="00B41C51"/>
    <w:rsid w:val="00B632A1"/>
    <w:rsid w:val="00B82FAC"/>
    <w:rsid w:val="00BA4135"/>
    <w:rsid w:val="00BB23E1"/>
    <w:rsid w:val="00BC7794"/>
    <w:rsid w:val="00BD6A41"/>
    <w:rsid w:val="00BE6A3C"/>
    <w:rsid w:val="00BF13AE"/>
    <w:rsid w:val="00BF30F1"/>
    <w:rsid w:val="00C017D6"/>
    <w:rsid w:val="00C04440"/>
    <w:rsid w:val="00C16C58"/>
    <w:rsid w:val="00C42211"/>
    <w:rsid w:val="00C45E59"/>
    <w:rsid w:val="00C476EC"/>
    <w:rsid w:val="00C506C1"/>
    <w:rsid w:val="00C55B7A"/>
    <w:rsid w:val="00C673D9"/>
    <w:rsid w:val="00C70D4D"/>
    <w:rsid w:val="00C74ED2"/>
    <w:rsid w:val="00C75E81"/>
    <w:rsid w:val="00C812B7"/>
    <w:rsid w:val="00C81479"/>
    <w:rsid w:val="00CB28CB"/>
    <w:rsid w:val="00CB414F"/>
    <w:rsid w:val="00CD4967"/>
    <w:rsid w:val="00CF0030"/>
    <w:rsid w:val="00CF6DCB"/>
    <w:rsid w:val="00D03B86"/>
    <w:rsid w:val="00D041FD"/>
    <w:rsid w:val="00D10A85"/>
    <w:rsid w:val="00D230D1"/>
    <w:rsid w:val="00D23560"/>
    <w:rsid w:val="00D53DF0"/>
    <w:rsid w:val="00D56433"/>
    <w:rsid w:val="00D6418C"/>
    <w:rsid w:val="00D64DB7"/>
    <w:rsid w:val="00D67DA7"/>
    <w:rsid w:val="00D851B2"/>
    <w:rsid w:val="00D85823"/>
    <w:rsid w:val="00D93EB7"/>
    <w:rsid w:val="00DA10E4"/>
    <w:rsid w:val="00DA15FB"/>
    <w:rsid w:val="00DA360D"/>
    <w:rsid w:val="00DB5DD3"/>
    <w:rsid w:val="00DD0DB8"/>
    <w:rsid w:val="00DE4B6D"/>
    <w:rsid w:val="00DF7186"/>
    <w:rsid w:val="00E0449A"/>
    <w:rsid w:val="00E0668C"/>
    <w:rsid w:val="00E1799A"/>
    <w:rsid w:val="00E20D88"/>
    <w:rsid w:val="00E21D99"/>
    <w:rsid w:val="00E44221"/>
    <w:rsid w:val="00E51687"/>
    <w:rsid w:val="00E52ED2"/>
    <w:rsid w:val="00E614E5"/>
    <w:rsid w:val="00E62FA8"/>
    <w:rsid w:val="00E74E29"/>
    <w:rsid w:val="00E963DB"/>
    <w:rsid w:val="00EA3E93"/>
    <w:rsid w:val="00EA532A"/>
    <w:rsid w:val="00EB1132"/>
    <w:rsid w:val="00EB559B"/>
    <w:rsid w:val="00EE1597"/>
    <w:rsid w:val="00EE26B9"/>
    <w:rsid w:val="00EE2D35"/>
    <w:rsid w:val="00F01039"/>
    <w:rsid w:val="00F04B88"/>
    <w:rsid w:val="00F079E5"/>
    <w:rsid w:val="00F37D63"/>
    <w:rsid w:val="00F54AEF"/>
    <w:rsid w:val="00F74395"/>
    <w:rsid w:val="00F75784"/>
    <w:rsid w:val="00F758CC"/>
    <w:rsid w:val="00F841B4"/>
    <w:rsid w:val="00FB3F0F"/>
    <w:rsid w:val="00FC3F5D"/>
    <w:rsid w:val="00FD4C55"/>
    <w:rsid w:val="00FF4CF8"/>
    <w:rsid w:val="0A5B6057"/>
    <w:rsid w:val="19A27E62"/>
    <w:rsid w:val="355A28E3"/>
    <w:rsid w:val="39937C0C"/>
    <w:rsid w:val="3AF05A91"/>
    <w:rsid w:val="40E35E83"/>
    <w:rsid w:val="466033E4"/>
    <w:rsid w:val="48AE0A30"/>
    <w:rsid w:val="49290AF3"/>
    <w:rsid w:val="50150E2D"/>
    <w:rsid w:val="60095AE4"/>
    <w:rsid w:val="67A4786A"/>
    <w:rsid w:val="6A010FA4"/>
    <w:rsid w:val="70D56ED5"/>
    <w:rsid w:val="7BB4119D"/>
    <w:rsid w:val="7D14794C"/>
    <w:rsid w:val="7D33726F"/>
    <w:rsid w:val="7D5D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link w:val="19"/>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21"/>
      <w:szCs w:val="21"/>
    </w:rPr>
  </w:style>
  <w:style w:type="paragraph" w:customStyle="1" w:styleId="14">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5">
    <w:name w:val="批注文字 Char"/>
    <w:basedOn w:val="11"/>
    <w:link w:val="3"/>
    <w:semiHidden/>
    <w:qFormat/>
    <w:uiPriority w:val="99"/>
  </w:style>
  <w:style w:type="character" w:customStyle="1" w:styleId="16">
    <w:name w:val="批注框文本 Char"/>
    <w:basedOn w:val="11"/>
    <w:link w:val="4"/>
    <w:semiHidden/>
    <w:qFormat/>
    <w:uiPriority w:val="99"/>
    <w:rPr>
      <w:sz w:val="18"/>
      <w:szCs w:val="18"/>
    </w:rPr>
  </w:style>
  <w:style w:type="character" w:customStyle="1" w:styleId="17">
    <w:name w:val="页眉 Char"/>
    <w:basedOn w:val="11"/>
    <w:link w:val="6"/>
    <w:qFormat/>
    <w:uiPriority w:val="99"/>
    <w:rPr>
      <w:sz w:val="18"/>
      <w:szCs w:val="18"/>
    </w:rPr>
  </w:style>
  <w:style w:type="character" w:customStyle="1" w:styleId="18">
    <w:name w:val="页脚 Char"/>
    <w:basedOn w:val="11"/>
    <w:link w:val="5"/>
    <w:qFormat/>
    <w:uiPriority w:val="99"/>
    <w:rPr>
      <w:sz w:val="18"/>
      <w:szCs w:val="18"/>
    </w:rPr>
  </w:style>
  <w:style w:type="character" w:customStyle="1" w:styleId="19">
    <w:name w:val="标题 5 Char"/>
    <w:basedOn w:val="11"/>
    <w:link w:val="2"/>
    <w:qFormat/>
    <w:uiPriority w:val="9"/>
    <w:rPr>
      <w:rFonts w:ascii="宋体" w:hAnsi="宋体" w:eastAsia="宋体" w:cs="宋体"/>
      <w:b/>
      <w:bCs/>
      <w:kern w:val="0"/>
      <w:sz w:val="20"/>
      <w:szCs w:val="20"/>
    </w:rPr>
  </w:style>
  <w:style w:type="paragraph" w:styleId="20">
    <w:name w:val="List Paragraph"/>
    <w:basedOn w:val="1"/>
    <w:qFormat/>
    <w:uiPriority w:val="34"/>
    <w:pPr>
      <w:ind w:firstLine="420" w:firstLineChars="200"/>
    </w:pPr>
  </w:style>
  <w:style w:type="character" w:customStyle="1" w:styleId="21">
    <w:name w:val="批注主题 Char"/>
    <w:basedOn w:val="15"/>
    <w:link w:val="8"/>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7ADF7-FE4D-4E67-A4F5-20ACEFC819A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4732</Words>
  <Characters>5168</Characters>
  <Lines>36</Lines>
  <Paragraphs>10</Paragraphs>
  <TotalTime>7</TotalTime>
  <ScaleCrop>false</ScaleCrop>
  <LinksUpToDate>false</LinksUpToDate>
  <CharactersWithSpaces>5219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2022-01-28T09:52:00Z</dcterms:created>
  <dc:creator>杨溶</dc:creator>
  <cp:lastModifiedBy>WSY</cp:lastModifiedBy>
  <cp:lastPrinted>2018-10-21T06:55:00Z</cp:lastPrinted>
  <dcterms:modified xsi:type="dcterms:W3CDTF">2023-03-20T07:52:29Z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3107C61E8A66433A976D69DDFBA3A015</vt:lpwstr>
  </property>
</Properties>
</file>