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102" w:firstLineChars="49"/>
        <w:rPr>
          <w:rFonts w:ascii="宋体" w:hAnsi="宋体" w:cs="宋体"/>
          <w:bCs/>
          <w:kern w:val="0"/>
          <w:szCs w:val="21"/>
        </w:rPr>
      </w:pPr>
      <w:r>
        <w:rPr>
          <w:rFonts w:hint="eastAsia" w:ascii="宋体" w:hAnsi="宋体" w:cs="宋体"/>
          <w:bCs/>
          <w:kern w:val="0"/>
          <w:szCs w:val="21"/>
        </w:rPr>
        <w:t>证券代码：002042                证券简称：华孚时尚                公告编号：2024-37</w:t>
      </w:r>
    </w:p>
    <w:p>
      <w:pPr>
        <w:jc w:val="center"/>
        <w:rPr>
          <w:rFonts w:ascii="宋体" w:hAnsi="宋体" w:cs="宋体"/>
          <w:b/>
          <w:bCs/>
          <w:sz w:val="8"/>
        </w:rPr>
      </w:pPr>
    </w:p>
    <w:p>
      <w:pPr>
        <w:jc w:val="center"/>
        <w:rPr>
          <w:rFonts w:ascii="宋体" w:hAnsi="宋体" w:cs="宋体"/>
          <w:b/>
          <w:bCs/>
          <w:sz w:val="36"/>
        </w:rPr>
      </w:pPr>
      <w:r>
        <w:rPr>
          <w:rFonts w:hint="eastAsia" w:ascii="宋体" w:hAnsi="宋体" w:cs="宋体"/>
          <w:b/>
          <w:bCs/>
          <w:sz w:val="36"/>
        </w:rPr>
        <w:t>华孚时尚股份有限公司</w:t>
      </w:r>
    </w:p>
    <w:p>
      <w:pPr>
        <w:jc w:val="center"/>
        <w:outlineLvl w:val="0"/>
        <w:rPr>
          <w:rFonts w:ascii="宋体" w:hAnsi="宋体" w:cs="宋体"/>
          <w:b/>
          <w:bCs/>
          <w:sz w:val="36"/>
        </w:rPr>
      </w:pPr>
      <w:r>
        <w:rPr>
          <w:rFonts w:hint="eastAsia" w:ascii="宋体" w:hAnsi="宋体" w:cs="宋体"/>
          <w:b/>
          <w:bCs/>
          <w:sz w:val="36"/>
        </w:rPr>
        <w:t>2023年年度股东大会决议公告</w:t>
      </w:r>
    </w:p>
    <w:p>
      <w:pPr>
        <w:spacing w:line="400" w:lineRule="exact"/>
        <w:ind w:left="284" w:firstLine="40" w:firstLineChars="201"/>
        <w:rPr>
          <w:rFonts w:ascii="宋体" w:hAnsi="宋体" w:cs="宋体"/>
          <w:sz w:val="2"/>
        </w:rPr>
      </w:pPr>
    </w:p>
    <w:p>
      <w:pPr>
        <w:spacing w:line="400" w:lineRule="exact"/>
        <w:ind w:left="284" w:firstLine="482" w:firstLineChars="201"/>
        <w:rPr>
          <w:rFonts w:ascii="华文楷体" w:hAnsi="华文楷体" w:eastAsia="华文楷体" w:cs="宋体"/>
          <w:sz w:val="24"/>
        </w:rPr>
      </w:pPr>
      <w:r>
        <w:rPr>
          <w:rFonts w:hint="eastAsia" w:ascii="华文楷体" w:hAnsi="华文楷体" w:eastAsia="华文楷体" w:cs="宋体"/>
          <w:sz w:val="24"/>
        </w:rPr>
        <w:t>本公司及董事会全体成员保证信息披露的内容真实、准确、完整，没有虚假记载、误导性陈述或重大遗漏。</w:t>
      </w:r>
    </w:p>
    <w:p>
      <w:pPr>
        <w:spacing w:line="480" w:lineRule="exact"/>
        <w:ind w:left="559"/>
        <w:rPr>
          <w:rFonts w:cs="宋体" w:asciiTheme="minorEastAsia" w:hAnsiTheme="minorEastAsia" w:eastAsiaTheme="minorEastAsia"/>
          <w:b/>
          <w:bCs/>
          <w:sz w:val="24"/>
        </w:rPr>
      </w:pPr>
      <w:r>
        <w:rPr>
          <w:rFonts w:hint="eastAsia" w:cs="宋体" w:asciiTheme="minorEastAsia" w:hAnsiTheme="minorEastAsia" w:eastAsiaTheme="minorEastAsia"/>
          <w:b/>
          <w:bCs/>
          <w:sz w:val="24"/>
        </w:rPr>
        <w:t>重要提示：</w:t>
      </w:r>
    </w:p>
    <w:p>
      <w:pPr>
        <w:spacing w:line="480" w:lineRule="exact"/>
        <w:ind w:left="-27" w:leftChars="-13" w:firstLine="448" w:firstLineChars="187"/>
        <w:rPr>
          <w:rFonts w:cs="宋体" w:asciiTheme="minorEastAsia" w:hAnsiTheme="minorEastAsia" w:eastAsiaTheme="minorEastAsia"/>
          <w:sz w:val="24"/>
        </w:rPr>
      </w:pPr>
      <w:r>
        <w:rPr>
          <w:rFonts w:hint="eastAsia" w:cs="宋体" w:asciiTheme="minorEastAsia" w:hAnsiTheme="minorEastAsia" w:eastAsiaTheme="minorEastAsia"/>
          <w:sz w:val="24"/>
        </w:rPr>
        <w:t>1、本次股东大会没有出现否决提案的情况；</w:t>
      </w:r>
    </w:p>
    <w:p>
      <w:pPr>
        <w:spacing w:line="480" w:lineRule="exact"/>
        <w:ind w:left="-27" w:leftChars="-13" w:firstLine="448" w:firstLineChars="187"/>
        <w:rPr>
          <w:rFonts w:cs="宋体" w:asciiTheme="minorEastAsia" w:hAnsiTheme="minorEastAsia" w:eastAsiaTheme="minorEastAsia"/>
          <w:sz w:val="24"/>
        </w:rPr>
      </w:pPr>
      <w:r>
        <w:rPr>
          <w:rFonts w:hint="eastAsia" w:cs="宋体" w:asciiTheme="minorEastAsia" w:hAnsiTheme="minorEastAsia" w:eastAsiaTheme="minorEastAsia"/>
          <w:sz w:val="24"/>
        </w:rPr>
        <w:t xml:space="preserve">2、本次股东大会不涉及变更以往股东大会已通过的决议； </w:t>
      </w:r>
    </w:p>
    <w:p>
      <w:pPr>
        <w:spacing w:line="480" w:lineRule="exact"/>
        <w:ind w:left="-132" w:leftChars="-63" w:firstLine="568" w:firstLineChars="237"/>
        <w:rPr>
          <w:rFonts w:cs="宋体" w:asciiTheme="minorEastAsia" w:hAnsiTheme="minorEastAsia" w:eastAsiaTheme="minorEastAsia"/>
          <w:sz w:val="24"/>
        </w:rPr>
      </w:pPr>
      <w:r>
        <w:rPr>
          <w:rFonts w:hint="eastAsia" w:cs="宋体" w:asciiTheme="minorEastAsia" w:hAnsiTheme="minorEastAsia" w:eastAsiaTheme="minorEastAsia"/>
          <w:sz w:val="24"/>
        </w:rPr>
        <w:t>3、本次股东大会以现场投票和网络投票相结合的方式召开。</w:t>
      </w:r>
    </w:p>
    <w:p>
      <w:pPr>
        <w:numPr>
          <w:ilvl w:val="0"/>
          <w:numId w:val="1"/>
        </w:numPr>
        <w:spacing w:line="500" w:lineRule="exact"/>
        <w:rPr>
          <w:rFonts w:cs="宋体" w:asciiTheme="minorEastAsia" w:hAnsiTheme="minorEastAsia" w:eastAsiaTheme="minorEastAsia"/>
          <w:b/>
          <w:bCs/>
          <w:sz w:val="24"/>
        </w:rPr>
      </w:pPr>
      <w:r>
        <w:rPr>
          <w:rFonts w:hint="eastAsia" w:cs="宋体" w:asciiTheme="minorEastAsia" w:hAnsiTheme="minorEastAsia" w:eastAsiaTheme="minorEastAsia"/>
          <w:b/>
          <w:bCs/>
          <w:sz w:val="24"/>
        </w:rPr>
        <w:t>会议召开和出席情况</w:t>
      </w:r>
    </w:p>
    <w:p>
      <w:pPr>
        <w:spacing w:line="50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华孚时尚股份有限公司（以下简称“公司”或“本公司”）2023年年度股东大会以现场投票及网络投票相结合的方式召开。</w:t>
      </w:r>
    </w:p>
    <w:p>
      <w:pPr>
        <w:spacing w:line="50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（一）召开时间：</w:t>
      </w:r>
    </w:p>
    <w:p>
      <w:pPr>
        <w:spacing w:line="50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1、现场会议时间：2024年5月24日（星期五）下午14:30-16:00。</w:t>
      </w:r>
    </w:p>
    <w:p>
      <w:pPr>
        <w:spacing w:line="50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网络投票时间：2024年5月24日。其中，通过深圳证券交易所交易系统进行网络投票的具体时间为：2024年5月24日9：15-9：25、9:30－11:30和13:00－15:00；通过深圳证券交易所互联网投票系统投票的具体时间为：2024年5月24日9:15－15:00期间的任意时间；</w:t>
      </w:r>
    </w:p>
    <w:p>
      <w:pPr>
        <w:spacing w:line="50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（二）现场会议召开地点：广东省深圳市福田区市花路5号长富金茂大厦59楼会议室。</w:t>
      </w:r>
    </w:p>
    <w:p>
      <w:pPr>
        <w:spacing w:line="5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出席本次股东大会现场会议的股东共4名，所代表股份714,190,762股，占公司有表决权总股份的41.9944%；通过深圳证券交易所交易系统和互联网投票系统进行网络投票的股东（代理人）共19名，代表股份17,445,211股，占上市公司总股份的1.0258％。通过现场和网络出席本次股东大会的股东共23名,代表股份731,635,973股，占上市公司有表决权总股份的43.0202％。</w:t>
      </w:r>
    </w:p>
    <w:p>
      <w:pPr>
        <w:spacing w:line="50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本次股东大会由公司董事会召集，董事长孙伟挺先生主持会议；公司董事、监事及董事会秘书出席会议，鉴证律师对本次会议进行了鉴证。本次会议的召集、召开与表决程序符合《中华人民共和国公司法》及《公司章程》的有关规定。</w:t>
      </w:r>
    </w:p>
    <w:p>
      <w:pPr>
        <w:numPr>
          <w:ilvl w:val="0"/>
          <w:numId w:val="1"/>
        </w:numPr>
        <w:spacing w:line="500" w:lineRule="exact"/>
        <w:rPr>
          <w:rFonts w:cs="宋体" w:asciiTheme="minorEastAsia" w:hAnsiTheme="minorEastAsia" w:eastAsiaTheme="minorEastAsia"/>
          <w:b/>
          <w:bCs/>
          <w:sz w:val="24"/>
        </w:rPr>
      </w:pPr>
      <w:r>
        <w:rPr>
          <w:rFonts w:hint="eastAsia" w:cs="宋体" w:asciiTheme="minorEastAsia" w:hAnsiTheme="minorEastAsia" w:eastAsiaTheme="minorEastAsia"/>
          <w:b/>
          <w:bCs/>
          <w:sz w:val="24"/>
        </w:rPr>
        <w:t>提案审议和表决情况</w:t>
      </w:r>
    </w:p>
    <w:p>
      <w:pPr>
        <w:pStyle w:val="5"/>
        <w:spacing w:line="50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本次股东大会无否决、新增及修改提案的情况，本次股东大会以现场投票和网络投票相结合的方式进行，会议审议通过了以下议案：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提案1.00 审议《2023年度报告全文及摘要的议案》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730,355,973股，占出席会议所有股东所持股份的99.8251％；反对1,080,300股，占出席会议所有股东所持股份的0.1477％；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同意17,668,211股，占出席会议的中小股东所持股份的93.2447％；反对1,080,300股，占出席会议的中小股东所持股份的5.7013％；弃权199,700股（其中，因未投票默认弃权0股），占出席会议的中小股东所持股份的1.0539％。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提案2.00 审议《2023年度董事会工作报告的议案》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730,355,973股，占出席会议所有股东所持股份的99.8251％；反对1,080,300股，占出席会议所有股东所持股份的0.1477％；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同意17,668,211股，占出席会议的中小股东所持股份的93.2447％；反对1,080,300股，占出席会议的中小股东所持股份的5.7013％；弃权199,700股（其中，因未投票默认弃权0股），占出席会议的中小股东所持股份的1.0539％。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提案3.00 审议《2023年度监事会工作报告的议案》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730,355,973股，占出席会议所有股东所持股份的99.8251％；反对1,080,300股，占出席会议所有股东所持股份的0.1477％；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同意17,668,211股，占出席会议的中小股东所持股份的93.2447％；反对1,080,300股，占出席会议的中小股东所持股份的5.7013％；弃权199,700股（其中，因未投票默认弃权0股），占出席会议的中小股东所持股份的1.0539％。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提案4.00 审议《2023年度财务决算报告的议案》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730,355,973股，占出席会议所有股东所持股份的99.8251％；反对1,080,300股，占出席会议所有股东所持股份的0.1477％；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同意17,668,211股，占出席会议的中小股东所持股份的93.2447％；反对1,080,300股，占出席会议的中小股东所持股份的5.7013％；弃权199,700股（其中，因未投票默认弃权0股），占出席会议的中小股东所持股份的1.0539％。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提案5.00 审议《2023年利润分配预案的议案》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同意730,597,473股，占出席会议所有股东所持股份的99.8581％；反对1,038,500股，占出席会议所有股东所持股份的0.1419％；弃权0股（其中，因未投票默认弃权0股），占出席会议所有股东所持股份的0.0000％。审议通过。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同意17,909,711股，占出席会议的中小股东所持股份的94.5193％；反对1,038,500股，占出席会议的中小股东所持股份的5.4807％；弃权0股（其中，因未投票默认弃权0股），占出席会议的中小股东所持股份的0.0000％。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提案6.00 审议《2023年度内部控制评价报告的议案》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730,397,773股，占出席会议所有股东所持股份的99.8308％；反对1,038,500股，占出席会议所有股东所持股份的0.1419％；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同意17,710,011股，占出席会议的中小股东所持股份的93.4653％；反对1,038,500股，占出席会议的中小股东所持股份的5.4807％；弃权199,700股（其中，因未投票默认弃权0股），占出席会议的中小股东所持股份的1.0539％。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提案7.00 审议《关于2024年使用自有资金进行投资理财的议案》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同意720,862,596股，占出席会议所有股东所持股份的98.5275％；反对10,773,377股，占出席会议所有股东所持股份的1.4725％；弃权0股（其中，因未投票默认弃权0股），占出席会议所有股东所持股份的0.0000％。审议通过。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同意8,174,834股，占出席会议的中小股东所持股份的43.1430％；反对10,773,377股，占出席会议的中小股东所持股份的56.8570％；弃权0股（其中，因未投票默认弃权0股），占出席会议的中小股东所持股份的0.0000％。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提案8.00 审议《关于预计2024年度参与期货套期保值交易事项的议案》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同意730,597,473股，占出席会议所有股东所持股份的99.8581％；反对1,038,500股，占出席会议所有股东所持股份的0.1419％；弃权0股（其中，因未投票默认弃权0股），占出席会议所有股东所持股份的0.0000％。审议通过。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同意17,909,711股，占出席会议的中小股东所持股份的94.5193％；反对1,038,500股，占出席会议的中小股东所持股份的5.4807％；弃权0股（其中，因未投票默认弃权0股），占出席会议的中小股东所持股份的0.0000％。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提案9.00 审议《关于预计2024年度申请银行授信额度及借款的议案》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同意715,635,462股，占出席会议所有股东所持股份的97.8131％；反对16,000,511股，占出席会议所有股东所持股份的2.1869％；弃权0股（其中，因未投票默认弃权0股），占出席会议所有股东所持股份的0.0000％。审议通过。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同意2,947,700股，占出席会议的中小股东所持股份的15.5566％；反对16,000,511股，占出席会议的中小股东所持股份的84.4434％；弃权0股（其中，因未投票默认弃权0股），占出席会议的中小股东所持股份的0.0000％。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提案10.00 审议《关于预计2024年度公司为子公司提供担保的议案》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同意730,388,673股，占出席会议所有股东所持股份的99.8295％；反对1,247,300股，占出席会议所有股东所持股份的0.1705％；弃权0股（其中，因未投票默认弃权0股），占出席会议所有股东所持股份的0.0000％。审议通过。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同意17,700,911股，占出席会议的中小股东所持股份的93.4173％；反对1,247,300股，占出席会议的中小股东所持股份的6.5827％；弃权0股（其中，因未投票默认弃权0股），占出席会议的中小股东所持股份的0.0000％。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提案11.00 审议《关于预计2024年度日常关联交易的议案》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同意730,555,673股，占出席会议所有股东所持股份的99.8523％；反对1,080,300股，占出席会议所有股东所持股份的0.1477％；弃权0股（其中，因未投票默认弃权0股），占出席会议所有股东所持股份的0.0000％。审议通过。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同意17,867,911股，占出席会议的中小股东所持股份的94.2987％；反对1,080,300股，占出席会议的中小股东所持股份的5.7013％；弃权0股（其中，因未投票默认弃权0股），占出席会议的中小股东所持股份的0.0000％。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提案12.00 审议《2023年度募集资金存放与使用情况专项报告的议案》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730,397,773股，占出席会议所有股东所持股份的99.8308％；反对1,038,500股，占出席会议所有股东所持股份的0.1419％；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同意17,710,011股，占出席会议的中小股东所持股份的93.4653％；反对1,038,500股，占出席会议的中小股东所持股份的5.4807％；弃权199,700股（其中，因未投票默认弃权0股），占出席会议的中小股东所持股份的1.0539％。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提案13.00 审议《关于续聘2024年度会计师事务所的议案》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730,379,073股，占出席会议所有股东所持股份的99.8282％；反对1,057,200股，占出席会议所有股东所持股份的0.1445％；弃权199,700股（其中，因未投票默认弃权0股），占出席会议所有股东所持股份的0.0273％。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同意17,691,311股，占出席会议的中小股东所持股份的93.3667％；反对1,057,200股，占出席会议的中小股东所持股份的5.5794％；弃权199,700股（其中，因未投票默认弃权0股），占出席会议的中小股东所持股份的1.0539％。</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提案14.00 审议《关于未来三年(2024-2026年)股东回报规划的议案》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同意730,597,473股，占出席会议所有股东所持股份的99.8581％；反对1,038,500股，占出席会议所有股东所持股份的0.1419％；弃权0股（其中，因未投票默认弃权0股），占出席会议所有股东所持股份的0.0000％。审议通过。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同意17,909,711股，占出席会议的中小股东所持股份的94.5193％；反对1,038,500股，占出席会议的中小股东所持股份的5.4807％；弃权0股（其中，因未投票默认弃权0股），占出席会议的中小股东所持股份的0.0000％。</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提案15.00 审议《关于补选独立董事的议案》</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同意730,597,473股，占出席会议所有股东所持股份的99.8581％；反对1,038,500股，占出席会议所有股东所持股份的0.1419％；弃权0股（其中，因未投票默认弃权0股），占出席会议所有股东所持股份的0.0000％。审议通过。</w:t>
      </w:r>
    </w:p>
    <w:p>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中小股东总表决情况：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同意17,909,711股，占出席会议的中小股东所持股份的94.5193％；反对1,038,500股，占出席会议的中小股东所持股份的5.4807％；弃权0股（其中，因未投票默认弃权0股），占出席会议的中小股东所持股份的0.0000％。</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宋海涛先生当选为公司第八届董事会独立董事，任期与第八届董事会任期保持一致。</w:t>
      </w:r>
    </w:p>
    <w:p>
      <w:pPr>
        <w:spacing w:line="480" w:lineRule="exact"/>
        <w:ind w:firstLine="472" w:firstLineChars="196"/>
        <w:rPr>
          <w:rStyle w:val="23"/>
          <w:rFonts w:cs="宋体" w:asciiTheme="minorEastAsia" w:hAnsiTheme="minorEastAsia" w:eastAsiaTheme="minorEastAsia"/>
          <w:b/>
          <w:bCs/>
          <w:sz w:val="24"/>
        </w:rPr>
      </w:pPr>
      <w:r>
        <w:rPr>
          <w:rStyle w:val="23"/>
          <w:rFonts w:hint="eastAsia" w:cs="宋体" w:asciiTheme="minorEastAsia" w:hAnsiTheme="minorEastAsia" w:eastAsiaTheme="minorEastAsia"/>
          <w:b/>
          <w:bCs/>
          <w:sz w:val="24"/>
        </w:rPr>
        <w:t>三、律师出具的法律意见</w:t>
      </w:r>
    </w:p>
    <w:p>
      <w:pPr>
        <w:spacing w:line="480" w:lineRule="exact"/>
        <w:outlineLvl w:val="0"/>
        <w:rPr>
          <w:rFonts w:cs="宋体" w:asciiTheme="minorEastAsia" w:hAnsiTheme="minorEastAsia" w:eastAsiaTheme="minorEastAsia"/>
          <w:sz w:val="24"/>
        </w:rPr>
      </w:pPr>
      <w:r>
        <w:rPr>
          <w:rFonts w:hint="eastAsia" w:cs="宋体" w:asciiTheme="minorEastAsia" w:hAnsiTheme="minorEastAsia" w:eastAsiaTheme="minorEastAsia"/>
          <w:sz w:val="24"/>
        </w:rPr>
        <w:t xml:space="preserve">    华商林李黎（前海）联营律师事务所曾卓律师、</w:t>
      </w:r>
      <w:r>
        <w:rPr>
          <w:rFonts w:hint="eastAsia" w:ascii="宋体" w:hAnsi="宋体"/>
          <w:sz w:val="24"/>
        </w:rPr>
        <w:t>林佳颖</w:t>
      </w:r>
      <w:r>
        <w:rPr>
          <w:rFonts w:hint="eastAsia" w:cs="宋体" w:asciiTheme="minorEastAsia" w:hAnsiTheme="minorEastAsia" w:eastAsiaTheme="minorEastAsia"/>
          <w:sz w:val="24"/>
        </w:rPr>
        <w:t>律师对本次股东大会进行了见证，并出具了《法律意见书》。</w:t>
      </w:r>
    </w:p>
    <w:p>
      <w:pPr>
        <w:spacing w:line="480" w:lineRule="exact"/>
        <w:outlineLvl w:val="0"/>
        <w:rPr>
          <w:rFonts w:cs="宋体" w:asciiTheme="minorEastAsia" w:hAnsiTheme="minorEastAsia" w:eastAsiaTheme="minorEastAsia"/>
          <w:sz w:val="24"/>
        </w:rPr>
      </w:pPr>
      <w:r>
        <w:rPr>
          <w:rFonts w:hint="eastAsia" w:cs="宋体" w:asciiTheme="minorEastAsia" w:hAnsiTheme="minorEastAsia" w:eastAsiaTheme="minorEastAsia"/>
          <w:sz w:val="24"/>
        </w:rPr>
        <w:t xml:space="preserve">    该法律意见书认为：公司本次股东大会召集和召开程序、出席会议人员主体资格、会议表决程序、表决结果以及形成的会议决议均符合《公司法》等法律、法规、规范性文件以及《公司章程》的相关规定，合法有效。</w:t>
      </w:r>
    </w:p>
    <w:p>
      <w:pPr>
        <w:spacing w:line="480" w:lineRule="exact"/>
        <w:ind w:left="559"/>
        <w:outlineLvl w:val="0"/>
        <w:rPr>
          <w:rFonts w:cs="宋体" w:asciiTheme="minorEastAsia" w:hAnsiTheme="minorEastAsia" w:eastAsiaTheme="minorEastAsia"/>
          <w:b/>
          <w:bCs/>
          <w:sz w:val="24"/>
        </w:rPr>
      </w:pPr>
      <w:r>
        <w:rPr>
          <w:rFonts w:hint="eastAsia" w:cs="宋体" w:asciiTheme="minorEastAsia" w:hAnsiTheme="minorEastAsia" w:eastAsiaTheme="minorEastAsia"/>
          <w:b/>
          <w:bCs/>
          <w:sz w:val="24"/>
        </w:rPr>
        <w:t>四、备查文件</w:t>
      </w:r>
    </w:p>
    <w:p>
      <w:pPr>
        <w:spacing w:line="4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1、202</w:t>
      </w:r>
      <w:r>
        <w:rPr>
          <w:rFonts w:hint="eastAsia" w:cs="宋体" w:asciiTheme="minorEastAsia" w:hAnsiTheme="minorEastAsia" w:eastAsiaTheme="minorEastAsia"/>
          <w:sz w:val="24"/>
          <w:lang w:val="en-US" w:eastAsia="zh-CN"/>
        </w:rPr>
        <w:t>3</w:t>
      </w:r>
      <w:bookmarkStart w:id="0" w:name="_GoBack"/>
      <w:bookmarkEnd w:id="0"/>
      <w:r>
        <w:rPr>
          <w:rFonts w:hint="eastAsia" w:cs="宋体" w:asciiTheme="minorEastAsia" w:hAnsiTheme="minorEastAsia" w:eastAsiaTheme="minorEastAsia"/>
          <w:sz w:val="24"/>
        </w:rPr>
        <w:t>年年度股东大会决议；</w:t>
      </w:r>
    </w:p>
    <w:p>
      <w:pPr>
        <w:spacing w:line="4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2、法律意见书。</w:t>
      </w:r>
    </w:p>
    <w:p>
      <w:pPr>
        <w:spacing w:line="480" w:lineRule="exact"/>
        <w:ind w:firstLine="540" w:firstLineChars="225"/>
        <w:rPr>
          <w:rFonts w:cs="宋体" w:asciiTheme="minorEastAsia" w:hAnsiTheme="minorEastAsia" w:eastAsiaTheme="minorEastAsia"/>
          <w:sz w:val="24"/>
        </w:rPr>
      </w:pPr>
      <w:r>
        <w:rPr>
          <w:rFonts w:hint="eastAsia" w:cs="宋体" w:asciiTheme="minorEastAsia" w:hAnsiTheme="minorEastAsia" w:eastAsiaTheme="minorEastAsia"/>
          <w:sz w:val="24"/>
        </w:rPr>
        <w:t>特此公告。</w:t>
      </w:r>
    </w:p>
    <w:p>
      <w:pPr>
        <w:spacing w:line="480" w:lineRule="exact"/>
        <w:ind w:firstLine="3840" w:firstLineChars="1600"/>
        <w:jc w:val="right"/>
        <w:rPr>
          <w:rFonts w:cs="宋体" w:asciiTheme="minorEastAsia" w:hAnsiTheme="minorEastAsia" w:eastAsiaTheme="minorEastAsia"/>
          <w:sz w:val="24"/>
        </w:rPr>
      </w:pPr>
      <w:r>
        <w:rPr>
          <w:rFonts w:hint="eastAsia" w:cs="宋体" w:asciiTheme="minorEastAsia" w:hAnsiTheme="minorEastAsia" w:eastAsiaTheme="minorEastAsia"/>
          <w:sz w:val="24"/>
        </w:rPr>
        <w:t>华孚时尚股份有限公司董事会</w:t>
      </w:r>
    </w:p>
    <w:p>
      <w:pPr>
        <w:spacing w:line="480" w:lineRule="exact"/>
        <w:ind w:firstLine="720" w:firstLineChars="300"/>
        <w:jc w:val="right"/>
        <w:rPr>
          <w:rFonts w:asciiTheme="minorEastAsia" w:hAnsiTheme="minorEastAsia" w:eastAsiaTheme="minorEastAsia"/>
          <w:bCs/>
          <w:sz w:val="24"/>
        </w:rPr>
      </w:pPr>
      <w:r>
        <w:rPr>
          <w:rFonts w:hint="eastAsia" w:cs="宋体" w:asciiTheme="minorEastAsia" w:hAnsiTheme="minorEastAsia" w:eastAsiaTheme="minorEastAsia"/>
          <w:sz w:val="24"/>
        </w:rPr>
        <w:t>　　                                  二〇二四年五月二十五日</w:t>
      </w:r>
    </w:p>
    <w:sectPr>
      <w:footerReference r:id="rId3" w:type="default"/>
      <w:footerReference r:id="rId4" w:type="even"/>
      <w:pgSz w:w="11906" w:h="16838"/>
      <w:pgMar w:top="1134" w:right="1531" w:bottom="709" w:left="1531" w:header="1418" w:footer="96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6</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902A46"/>
    <w:multiLevelType w:val="multilevel"/>
    <w:tmpl w:val="6C902A46"/>
    <w:lvl w:ilvl="0" w:tentative="0">
      <w:start w:val="1"/>
      <w:numFmt w:val="japaneseCounting"/>
      <w:lvlText w:val="%1、"/>
      <w:lvlJc w:val="left"/>
      <w:pPr>
        <w:tabs>
          <w:tab w:val="left" w:pos="1279"/>
        </w:tabs>
        <w:ind w:left="1279" w:hanging="720"/>
      </w:pPr>
      <w:rPr>
        <w:rFonts w:hint="eastAsia"/>
      </w:rPr>
    </w:lvl>
    <w:lvl w:ilvl="1" w:tentative="0">
      <w:start w:val="1"/>
      <w:numFmt w:val="decimal"/>
      <w:lvlText w:val="%2、"/>
      <w:lvlJc w:val="left"/>
      <w:pPr>
        <w:tabs>
          <w:tab w:val="left" w:pos="1699"/>
        </w:tabs>
        <w:ind w:left="1699" w:hanging="720"/>
      </w:pPr>
      <w:rPr>
        <w:rFonts w:hint="eastAsia"/>
      </w:rPr>
    </w:lvl>
    <w:lvl w:ilvl="2" w:tentative="0">
      <w:start w:val="1"/>
      <w:numFmt w:val="lowerRoman"/>
      <w:lvlText w:val="%3."/>
      <w:lvlJc w:val="right"/>
      <w:pPr>
        <w:tabs>
          <w:tab w:val="left" w:pos="1819"/>
        </w:tabs>
        <w:ind w:left="1819" w:hanging="420"/>
      </w:pPr>
    </w:lvl>
    <w:lvl w:ilvl="3" w:tentative="0">
      <w:start w:val="1"/>
      <w:numFmt w:val="decimal"/>
      <w:lvlText w:val="%4."/>
      <w:lvlJc w:val="left"/>
      <w:pPr>
        <w:tabs>
          <w:tab w:val="left" w:pos="2239"/>
        </w:tabs>
        <w:ind w:left="2239" w:hanging="420"/>
      </w:pPr>
    </w:lvl>
    <w:lvl w:ilvl="4" w:tentative="0">
      <w:start w:val="1"/>
      <w:numFmt w:val="lowerLetter"/>
      <w:lvlText w:val="%5)"/>
      <w:lvlJc w:val="left"/>
      <w:pPr>
        <w:tabs>
          <w:tab w:val="left" w:pos="2659"/>
        </w:tabs>
        <w:ind w:left="2659" w:hanging="420"/>
      </w:pPr>
    </w:lvl>
    <w:lvl w:ilvl="5" w:tentative="0">
      <w:start w:val="1"/>
      <w:numFmt w:val="lowerRoman"/>
      <w:lvlText w:val="%6."/>
      <w:lvlJc w:val="right"/>
      <w:pPr>
        <w:tabs>
          <w:tab w:val="left" w:pos="3079"/>
        </w:tabs>
        <w:ind w:left="3079" w:hanging="420"/>
      </w:pPr>
    </w:lvl>
    <w:lvl w:ilvl="6" w:tentative="0">
      <w:start w:val="1"/>
      <w:numFmt w:val="decimal"/>
      <w:lvlText w:val="%7."/>
      <w:lvlJc w:val="left"/>
      <w:pPr>
        <w:tabs>
          <w:tab w:val="left" w:pos="3499"/>
        </w:tabs>
        <w:ind w:left="3499" w:hanging="420"/>
      </w:pPr>
    </w:lvl>
    <w:lvl w:ilvl="7" w:tentative="0">
      <w:start w:val="1"/>
      <w:numFmt w:val="lowerLetter"/>
      <w:lvlText w:val="%8)"/>
      <w:lvlJc w:val="left"/>
      <w:pPr>
        <w:tabs>
          <w:tab w:val="left" w:pos="3919"/>
        </w:tabs>
        <w:ind w:left="3919" w:hanging="420"/>
      </w:pPr>
    </w:lvl>
    <w:lvl w:ilvl="8" w:tentative="0">
      <w:start w:val="1"/>
      <w:numFmt w:val="lowerRoman"/>
      <w:lvlText w:val="%9."/>
      <w:lvlJc w:val="right"/>
      <w:pPr>
        <w:tabs>
          <w:tab w:val="left" w:pos="4339"/>
        </w:tabs>
        <w:ind w:left="433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A7479B"/>
    <w:rsid w:val="00013189"/>
    <w:rsid w:val="00015D33"/>
    <w:rsid w:val="00021BB7"/>
    <w:rsid w:val="000245E0"/>
    <w:rsid w:val="000245EA"/>
    <w:rsid w:val="00026B4D"/>
    <w:rsid w:val="000303B2"/>
    <w:rsid w:val="00032BC3"/>
    <w:rsid w:val="000354D5"/>
    <w:rsid w:val="0004222B"/>
    <w:rsid w:val="00043451"/>
    <w:rsid w:val="00046E95"/>
    <w:rsid w:val="00050082"/>
    <w:rsid w:val="00052C70"/>
    <w:rsid w:val="00053FE2"/>
    <w:rsid w:val="00054A57"/>
    <w:rsid w:val="00056E98"/>
    <w:rsid w:val="00062BEB"/>
    <w:rsid w:val="00072047"/>
    <w:rsid w:val="000776DE"/>
    <w:rsid w:val="0007777B"/>
    <w:rsid w:val="00082F8C"/>
    <w:rsid w:val="00083FCE"/>
    <w:rsid w:val="00084781"/>
    <w:rsid w:val="00086821"/>
    <w:rsid w:val="00095B8B"/>
    <w:rsid w:val="00096078"/>
    <w:rsid w:val="00097BD6"/>
    <w:rsid w:val="000A032D"/>
    <w:rsid w:val="000A32C6"/>
    <w:rsid w:val="000A3D61"/>
    <w:rsid w:val="000A516D"/>
    <w:rsid w:val="000A60D0"/>
    <w:rsid w:val="000B11C1"/>
    <w:rsid w:val="000B37AB"/>
    <w:rsid w:val="000B3DBA"/>
    <w:rsid w:val="000B5F73"/>
    <w:rsid w:val="000C12DA"/>
    <w:rsid w:val="000D2669"/>
    <w:rsid w:val="000D72E9"/>
    <w:rsid w:val="000E1B9F"/>
    <w:rsid w:val="000E3605"/>
    <w:rsid w:val="000E5E5B"/>
    <w:rsid w:val="000E72AD"/>
    <w:rsid w:val="0010107F"/>
    <w:rsid w:val="00101171"/>
    <w:rsid w:val="00101F82"/>
    <w:rsid w:val="00105442"/>
    <w:rsid w:val="00113112"/>
    <w:rsid w:val="00123425"/>
    <w:rsid w:val="00124483"/>
    <w:rsid w:val="00125762"/>
    <w:rsid w:val="00132CA1"/>
    <w:rsid w:val="00136E6A"/>
    <w:rsid w:val="0013784E"/>
    <w:rsid w:val="0014132C"/>
    <w:rsid w:val="00141813"/>
    <w:rsid w:val="0014570E"/>
    <w:rsid w:val="00145B58"/>
    <w:rsid w:val="00146BA9"/>
    <w:rsid w:val="00147079"/>
    <w:rsid w:val="00163B03"/>
    <w:rsid w:val="00165E23"/>
    <w:rsid w:val="00173856"/>
    <w:rsid w:val="00176E60"/>
    <w:rsid w:val="0018256B"/>
    <w:rsid w:val="0018509F"/>
    <w:rsid w:val="00186C5C"/>
    <w:rsid w:val="00187551"/>
    <w:rsid w:val="00194FF9"/>
    <w:rsid w:val="001960C8"/>
    <w:rsid w:val="001A0182"/>
    <w:rsid w:val="001A02D2"/>
    <w:rsid w:val="001A1A93"/>
    <w:rsid w:val="001A1DC3"/>
    <w:rsid w:val="001A2FD1"/>
    <w:rsid w:val="001B0816"/>
    <w:rsid w:val="001B1107"/>
    <w:rsid w:val="001B3CDA"/>
    <w:rsid w:val="001C0FCA"/>
    <w:rsid w:val="001C22BD"/>
    <w:rsid w:val="001C741A"/>
    <w:rsid w:val="001C75D7"/>
    <w:rsid w:val="001D1F74"/>
    <w:rsid w:val="001D4637"/>
    <w:rsid w:val="001D4A7C"/>
    <w:rsid w:val="001D5BD6"/>
    <w:rsid w:val="001E08EA"/>
    <w:rsid w:val="001E34FD"/>
    <w:rsid w:val="001F258B"/>
    <w:rsid w:val="001F314D"/>
    <w:rsid w:val="001F5E62"/>
    <w:rsid w:val="00201452"/>
    <w:rsid w:val="0020734C"/>
    <w:rsid w:val="00207633"/>
    <w:rsid w:val="002107FC"/>
    <w:rsid w:val="00213B12"/>
    <w:rsid w:val="002204C6"/>
    <w:rsid w:val="002217CE"/>
    <w:rsid w:val="00233371"/>
    <w:rsid w:val="00242B0E"/>
    <w:rsid w:val="00253907"/>
    <w:rsid w:val="00265DA7"/>
    <w:rsid w:val="00272882"/>
    <w:rsid w:val="002800E3"/>
    <w:rsid w:val="002834AF"/>
    <w:rsid w:val="002863A8"/>
    <w:rsid w:val="0029046B"/>
    <w:rsid w:val="00296930"/>
    <w:rsid w:val="002A708B"/>
    <w:rsid w:val="002A7AC7"/>
    <w:rsid w:val="002B28E2"/>
    <w:rsid w:val="002B2C70"/>
    <w:rsid w:val="002B3977"/>
    <w:rsid w:val="002C07CC"/>
    <w:rsid w:val="002C087F"/>
    <w:rsid w:val="002C269D"/>
    <w:rsid w:val="002C5331"/>
    <w:rsid w:val="002C5499"/>
    <w:rsid w:val="002D02A6"/>
    <w:rsid w:val="002E0124"/>
    <w:rsid w:val="002E7B4B"/>
    <w:rsid w:val="002F0412"/>
    <w:rsid w:val="002F0668"/>
    <w:rsid w:val="002F7FED"/>
    <w:rsid w:val="00302CD8"/>
    <w:rsid w:val="0031798C"/>
    <w:rsid w:val="00320E7F"/>
    <w:rsid w:val="003235F7"/>
    <w:rsid w:val="00323BF0"/>
    <w:rsid w:val="00323CA6"/>
    <w:rsid w:val="00327221"/>
    <w:rsid w:val="00327EF6"/>
    <w:rsid w:val="00333ECC"/>
    <w:rsid w:val="0033696C"/>
    <w:rsid w:val="003444B2"/>
    <w:rsid w:val="00346360"/>
    <w:rsid w:val="00347ADC"/>
    <w:rsid w:val="00350C6B"/>
    <w:rsid w:val="003555A6"/>
    <w:rsid w:val="00356431"/>
    <w:rsid w:val="0035692F"/>
    <w:rsid w:val="00357A1A"/>
    <w:rsid w:val="003652DF"/>
    <w:rsid w:val="00380239"/>
    <w:rsid w:val="0038088B"/>
    <w:rsid w:val="00391390"/>
    <w:rsid w:val="003938F7"/>
    <w:rsid w:val="003944A1"/>
    <w:rsid w:val="003A0359"/>
    <w:rsid w:val="003A2363"/>
    <w:rsid w:val="003A3140"/>
    <w:rsid w:val="003A6204"/>
    <w:rsid w:val="003B5D78"/>
    <w:rsid w:val="003B6FBE"/>
    <w:rsid w:val="003C2D18"/>
    <w:rsid w:val="003C30FA"/>
    <w:rsid w:val="003C486E"/>
    <w:rsid w:val="003C51F6"/>
    <w:rsid w:val="003C609C"/>
    <w:rsid w:val="003C6A83"/>
    <w:rsid w:val="003D4122"/>
    <w:rsid w:val="003D589F"/>
    <w:rsid w:val="003D7A0A"/>
    <w:rsid w:val="003E0809"/>
    <w:rsid w:val="003E5AC1"/>
    <w:rsid w:val="003F344C"/>
    <w:rsid w:val="003F3BC2"/>
    <w:rsid w:val="003F49B1"/>
    <w:rsid w:val="004079DD"/>
    <w:rsid w:val="00407D54"/>
    <w:rsid w:val="00411BA4"/>
    <w:rsid w:val="0041440B"/>
    <w:rsid w:val="004146DB"/>
    <w:rsid w:val="00431730"/>
    <w:rsid w:val="0044263D"/>
    <w:rsid w:val="00443E77"/>
    <w:rsid w:val="0044458F"/>
    <w:rsid w:val="00444960"/>
    <w:rsid w:val="00445E12"/>
    <w:rsid w:val="00446DBB"/>
    <w:rsid w:val="004544D9"/>
    <w:rsid w:val="00455FEB"/>
    <w:rsid w:val="004623D7"/>
    <w:rsid w:val="004658EC"/>
    <w:rsid w:val="00467C70"/>
    <w:rsid w:val="00470F98"/>
    <w:rsid w:val="0047565E"/>
    <w:rsid w:val="00481B78"/>
    <w:rsid w:val="00482C7C"/>
    <w:rsid w:val="0048493A"/>
    <w:rsid w:val="004858F3"/>
    <w:rsid w:val="004869EA"/>
    <w:rsid w:val="00487E30"/>
    <w:rsid w:val="0049119E"/>
    <w:rsid w:val="004A43F0"/>
    <w:rsid w:val="004A62D9"/>
    <w:rsid w:val="004A6700"/>
    <w:rsid w:val="004B1890"/>
    <w:rsid w:val="004C6B66"/>
    <w:rsid w:val="004C6BB8"/>
    <w:rsid w:val="004D37AF"/>
    <w:rsid w:val="004D7D6C"/>
    <w:rsid w:val="004E028A"/>
    <w:rsid w:val="004E08ED"/>
    <w:rsid w:val="004E3660"/>
    <w:rsid w:val="004E5CC1"/>
    <w:rsid w:val="004E63CA"/>
    <w:rsid w:val="00502296"/>
    <w:rsid w:val="0050651E"/>
    <w:rsid w:val="0051048E"/>
    <w:rsid w:val="00510770"/>
    <w:rsid w:val="005129C1"/>
    <w:rsid w:val="005177D2"/>
    <w:rsid w:val="00522939"/>
    <w:rsid w:val="0052524F"/>
    <w:rsid w:val="005266BC"/>
    <w:rsid w:val="00527220"/>
    <w:rsid w:val="00527752"/>
    <w:rsid w:val="00527A88"/>
    <w:rsid w:val="00534DA8"/>
    <w:rsid w:val="00542846"/>
    <w:rsid w:val="00544107"/>
    <w:rsid w:val="00552528"/>
    <w:rsid w:val="0055563F"/>
    <w:rsid w:val="00556CD9"/>
    <w:rsid w:val="005627A7"/>
    <w:rsid w:val="00574255"/>
    <w:rsid w:val="00585496"/>
    <w:rsid w:val="0059158E"/>
    <w:rsid w:val="005B06DA"/>
    <w:rsid w:val="005B251D"/>
    <w:rsid w:val="005B6D47"/>
    <w:rsid w:val="005C2845"/>
    <w:rsid w:val="005C42CB"/>
    <w:rsid w:val="005C467C"/>
    <w:rsid w:val="005C554D"/>
    <w:rsid w:val="005C74D0"/>
    <w:rsid w:val="005C7AFA"/>
    <w:rsid w:val="005D6331"/>
    <w:rsid w:val="005D717D"/>
    <w:rsid w:val="005E3258"/>
    <w:rsid w:val="005F0409"/>
    <w:rsid w:val="005F1356"/>
    <w:rsid w:val="0061594D"/>
    <w:rsid w:val="006232CF"/>
    <w:rsid w:val="00624B7B"/>
    <w:rsid w:val="00627DA5"/>
    <w:rsid w:val="0063151C"/>
    <w:rsid w:val="006327A5"/>
    <w:rsid w:val="006331C0"/>
    <w:rsid w:val="006331CB"/>
    <w:rsid w:val="00633DAB"/>
    <w:rsid w:val="00641116"/>
    <w:rsid w:val="006424B5"/>
    <w:rsid w:val="00644375"/>
    <w:rsid w:val="00644C06"/>
    <w:rsid w:val="00650C28"/>
    <w:rsid w:val="006513C0"/>
    <w:rsid w:val="006524F7"/>
    <w:rsid w:val="00653224"/>
    <w:rsid w:val="00657008"/>
    <w:rsid w:val="0065776C"/>
    <w:rsid w:val="00660764"/>
    <w:rsid w:val="00662E93"/>
    <w:rsid w:val="00664B95"/>
    <w:rsid w:val="00673ACD"/>
    <w:rsid w:val="006770D5"/>
    <w:rsid w:val="00680AF1"/>
    <w:rsid w:val="00680B50"/>
    <w:rsid w:val="00693BEA"/>
    <w:rsid w:val="006958FD"/>
    <w:rsid w:val="006A294E"/>
    <w:rsid w:val="006A435E"/>
    <w:rsid w:val="006A5CD7"/>
    <w:rsid w:val="006A6A41"/>
    <w:rsid w:val="006A6DA5"/>
    <w:rsid w:val="006A7D96"/>
    <w:rsid w:val="006B6F9F"/>
    <w:rsid w:val="006C0F3C"/>
    <w:rsid w:val="006C29CB"/>
    <w:rsid w:val="006C5936"/>
    <w:rsid w:val="006C62E5"/>
    <w:rsid w:val="006D4865"/>
    <w:rsid w:val="006E4BE7"/>
    <w:rsid w:val="006E4E46"/>
    <w:rsid w:val="006F0422"/>
    <w:rsid w:val="006F211C"/>
    <w:rsid w:val="006F23CB"/>
    <w:rsid w:val="006F260D"/>
    <w:rsid w:val="006F6B5A"/>
    <w:rsid w:val="007002F2"/>
    <w:rsid w:val="0070066F"/>
    <w:rsid w:val="00702E40"/>
    <w:rsid w:val="00705282"/>
    <w:rsid w:val="0071250D"/>
    <w:rsid w:val="00712B98"/>
    <w:rsid w:val="007275F0"/>
    <w:rsid w:val="007370BB"/>
    <w:rsid w:val="00743251"/>
    <w:rsid w:val="0074797B"/>
    <w:rsid w:val="007537EB"/>
    <w:rsid w:val="00757A80"/>
    <w:rsid w:val="007604A0"/>
    <w:rsid w:val="0076197F"/>
    <w:rsid w:val="00762546"/>
    <w:rsid w:val="00764044"/>
    <w:rsid w:val="0076417D"/>
    <w:rsid w:val="007660DF"/>
    <w:rsid w:val="00771C4A"/>
    <w:rsid w:val="00773EF6"/>
    <w:rsid w:val="0078024F"/>
    <w:rsid w:val="00793B8A"/>
    <w:rsid w:val="0079685C"/>
    <w:rsid w:val="0079740E"/>
    <w:rsid w:val="007A1C92"/>
    <w:rsid w:val="007A39BA"/>
    <w:rsid w:val="007A5E24"/>
    <w:rsid w:val="007B2F45"/>
    <w:rsid w:val="007B37A4"/>
    <w:rsid w:val="007B40DE"/>
    <w:rsid w:val="007B5532"/>
    <w:rsid w:val="007B6C73"/>
    <w:rsid w:val="007B79B2"/>
    <w:rsid w:val="007C2B7B"/>
    <w:rsid w:val="007C3435"/>
    <w:rsid w:val="007C5AC6"/>
    <w:rsid w:val="007C7D04"/>
    <w:rsid w:val="007D63A4"/>
    <w:rsid w:val="007E03D8"/>
    <w:rsid w:val="007E308F"/>
    <w:rsid w:val="007E5709"/>
    <w:rsid w:val="007F0D0E"/>
    <w:rsid w:val="007F0EB3"/>
    <w:rsid w:val="007F291D"/>
    <w:rsid w:val="007F328B"/>
    <w:rsid w:val="008048CB"/>
    <w:rsid w:val="0080503A"/>
    <w:rsid w:val="0080553B"/>
    <w:rsid w:val="00811D4E"/>
    <w:rsid w:val="00813205"/>
    <w:rsid w:val="00813C76"/>
    <w:rsid w:val="00814705"/>
    <w:rsid w:val="00815BB6"/>
    <w:rsid w:val="00816881"/>
    <w:rsid w:val="0082102A"/>
    <w:rsid w:val="008210A5"/>
    <w:rsid w:val="00821449"/>
    <w:rsid w:val="00823A9B"/>
    <w:rsid w:val="0082581F"/>
    <w:rsid w:val="008528C7"/>
    <w:rsid w:val="00852AE2"/>
    <w:rsid w:val="00863C14"/>
    <w:rsid w:val="00866469"/>
    <w:rsid w:val="00870092"/>
    <w:rsid w:val="00874623"/>
    <w:rsid w:val="00876A8F"/>
    <w:rsid w:val="00877C83"/>
    <w:rsid w:val="00881310"/>
    <w:rsid w:val="00881D37"/>
    <w:rsid w:val="00884963"/>
    <w:rsid w:val="00884B87"/>
    <w:rsid w:val="00884BCC"/>
    <w:rsid w:val="00890EE9"/>
    <w:rsid w:val="008938C7"/>
    <w:rsid w:val="00894F73"/>
    <w:rsid w:val="008A09E9"/>
    <w:rsid w:val="008B1378"/>
    <w:rsid w:val="008B38F2"/>
    <w:rsid w:val="008B5E66"/>
    <w:rsid w:val="008B7356"/>
    <w:rsid w:val="008C05F8"/>
    <w:rsid w:val="008C3750"/>
    <w:rsid w:val="008C46B5"/>
    <w:rsid w:val="008C624A"/>
    <w:rsid w:val="008D13E6"/>
    <w:rsid w:val="008D5073"/>
    <w:rsid w:val="008E1F53"/>
    <w:rsid w:val="008E4745"/>
    <w:rsid w:val="008F36B6"/>
    <w:rsid w:val="008F6546"/>
    <w:rsid w:val="009022E1"/>
    <w:rsid w:val="009072AE"/>
    <w:rsid w:val="009126CA"/>
    <w:rsid w:val="00921946"/>
    <w:rsid w:val="00927208"/>
    <w:rsid w:val="009272DD"/>
    <w:rsid w:val="00931F42"/>
    <w:rsid w:val="0093486E"/>
    <w:rsid w:val="00934D53"/>
    <w:rsid w:val="0093530F"/>
    <w:rsid w:val="00945286"/>
    <w:rsid w:val="0095141B"/>
    <w:rsid w:val="009515A7"/>
    <w:rsid w:val="009530C4"/>
    <w:rsid w:val="00953525"/>
    <w:rsid w:val="00953FB1"/>
    <w:rsid w:val="009543B1"/>
    <w:rsid w:val="00955D89"/>
    <w:rsid w:val="0096295F"/>
    <w:rsid w:val="009650DA"/>
    <w:rsid w:val="00975609"/>
    <w:rsid w:val="00976557"/>
    <w:rsid w:val="009822B2"/>
    <w:rsid w:val="00990361"/>
    <w:rsid w:val="009A5ECD"/>
    <w:rsid w:val="009B30AC"/>
    <w:rsid w:val="009B3F8A"/>
    <w:rsid w:val="009B5AE0"/>
    <w:rsid w:val="009C1931"/>
    <w:rsid w:val="009C1F29"/>
    <w:rsid w:val="009C29B9"/>
    <w:rsid w:val="009D0006"/>
    <w:rsid w:val="009E1AE5"/>
    <w:rsid w:val="009E5364"/>
    <w:rsid w:val="009F3A77"/>
    <w:rsid w:val="00A03368"/>
    <w:rsid w:val="00A052B8"/>
    <w:rsid w:val="00A07BD4"/>
    <w:rsid w:val="00A16753"/>
    <w:rsid w:val="00A318C5"/>
    <w:rsid w:val="00A31A9F"/>
    <w:rsid w:val="00A41DD6"/>
    <w:rsid w:val="00A444F6"/>
    <w:rsid w:val="00A45AC4"/>
    <w:rsid w:val="00A5535A"/>
    <w:rsid w:val="00A62C35"/>
    <w:rsid w:val="00A6422D"/>
    <w:rsid w:val="00A64D71"/>
    <w:rsid w:val="00A66341"/>
    <w:rsid w:val="00A7479B"/>
    <w:rsid w:val="00A7722A"/>
    <w:rsid w:val="00A87BE0"/>
    <w:rsid w:val="00A87C3A"/>
    <w:rsid w:val="00A90E64"/>
    <w:rsid w:val="00A931F5"/>
    <w:rsid w:val="00A95022"/>
    <w:rsid w:val="00A979D1"/>
    <w:rsid w:val="00AA213B"/>
    <w:rsid w:val="00AA4B21"/>
    <w:rsid w:val="00AB0553"/>
    <w:rsid w:val="00AC2767"/>
    <w:rsid w:val="00AD3359"/>
    <w:rsid w:val="00AD6B9D"/>
    <w:rsid w:val="00AE3B37"/>
    <w:rsid w:val="00AE5A00"/>
    <w:rsid w:val="00AF0D20"/>
    <w:rsid w:val="00AF148B"/>
    <w:rsid w:val="00AF2D4C"/>
    <w:rsid w:val="00B1289B"/>
    <w:rsid w:val="00B12EB8"/>
    <w:rsid w:val="00B155A8"/>
    <w:rsid w:val="00B160A4"/>
    <w:rsid w:val="00B237D2"/>
    <w:rsid w:val="00B24D53"/>
    <w:rsid w:val="00B3563A"/>
    <w:rsid w:val="00B43F5F"/>
    <w:rsid w:val="00B45081"/>
    <w:rsid w:val="00B452CE"/>
    <w:rsid w:val="00B55899"/>
    <w:rsid w:val="00B60658"/>
    <w:rsid w:val="00B6280A"/>
    <w:rsid w:val="00B65937"/>
    <w:rsid w:val="00B6624A"/>
    <w:rsid w:val="00B67A38"/>
    <w:rsid w:val="00B71526"/>
    <w:rsid w:val="00B75925"/>
    <w:rsid w:val="00B7725A"/>
    <w:rsid w:val="00B8134D"/>
    <w:rsid w:val="00B8467E"/>
    <w:rsid w:val="00B95CBA"/>
    <w:rsid w:val="00BA60FE"/>
    <w:rsid w:val="00BB0355"/>
    <w:rsid w:val="00BB2EEE"/>
    <w:rsid w:val="00BB3199"/>
    <w:rsid w:val="00BB42ED"/>
    <w:rsid w:val="00BB671B"/>
    <w:rsid w:val="00BC3F97"/>
    <w:rsid w:val="00BC4140"/>
    <w:rsid w:val="00BC4484"/>
    <w:rsid w:val="00BD0E2B"/>
    <w:rsid w:val="00BD1328"/>
    <w:rsid w:val="00BD45F7"/>
    <w:rsid w:val="00BD70FE"/>
    <w:rsid w:val="00BD7245"/>
    <w:rsid w:val="00BE07D8"/>
    <w:rsid w:val="00BF08DF"/>
    <w:rsid w:val="00C005CC"/>
    <w:rsid w:val="00C00EE3"/>
    <w:rsid w:val="00C0283D"/>
    <w:rsid w:val="00C02A59"/>
    <w:rsid w:val="00C0635C"/>
    <w:rsid w:val="00C337B3"/>
    <w:rsid w:val="00C34919"/>
    <w:rsid w:val="00C403A9"/>
    <w:rsid w:val="00C43959"/>
    <w:rsid w:val="00C46AA8"/>
    <w:rsid w:val="00C563EB"/>
    <w:rsid w:val="00C572FA"/>
    <w:rsid w:val="00C61C8C"/>
    <w:rsid w:val="00C661D5"/>
    <w:rsid w:val="00C70B13"/>
    <w:rsid w:val="00C7113D"/>
    <w:rsid w:val="00C742CD"/>
    <w:rsid w:val="00C8005D"/>
    <w:rsid w:val="00C8104C"/>
    <w:rsid w:val="00C84C5A"/>
    <w:rsid w:val="00C955D2"/>
    <w:rsid w:val="00C96EF6"/>
    <w:rsid w:val="00CA17CD"/>
    <w:rsid w:val="00CA62E3"/>
    <w:rsid w:val="00CA7028"/>
    <w:rsid w:val="00CA7E9F"/>
    <w:rsid w:val="00CB79E6"/>
    <w:rsid w:val="00CC17BC"/>
    <w:rsid w:val="00CC73B3"/>
    <w:rsid w:val="00CC74BA"/>
    <w:rsid w:val="00CE1FB5"/>
    <w:rsid w:val="00CE23B1"/>
    <w:rsid w:val="00CE3B35"/>
    <w:rsid w:val="00CF32EB"/>
    <w:rsid w:val="00CF4E19"/>
    <w:rsid w:val="00CF6AE1"/>
    <w:rsid w:val="00CF7676"/>
    <w:rsid w:val="00D01F00"/>
    <w:rsid w:val="00D056CE"/>
    <w:rsid w:val="00D0574C"/>
    <w:rsid w:val="00D05CF0"/>
    <w:rsid w:val="00D11950"/>
    <w:rsid w:val="00D14911"/>
    <w:rsid w:val="00D158D1"/>
    <w:rsid w:val="00D177ED"/>
    <w:rsid w:val="00D17D51"/>
    <w:rsid w:val="00D3066D"/>
    <w:rsid w:val="00D317AB"/>
    <w:rsid w:val="00D31908"/>
    <w:rsid w:val="00D327E4"/>
    <w:rsid w:val="00D41685"/>
    <w:rsid w:val="00D57165"/>
    <w:rsid w:val="00D708D1"/>
    <w:rsid w:val="00D7327B"/>
    <w:rsid w:val="00D7565B"/>
    <w:rsid w:val="00D82852"/>
    <w:rsid w:val="00D82FA4"/>
    <w:rsid w:val="00D8393D"/>
    <w:rsid w:val="00D8420F"/>
    <w:rsid w:val="00D84465"/>
    <w:rsid w:val="00DA0FA0"/>
    <w:rsid w:val="00DA139F"/>
    <w:rsid w:val="00DA1828"/>
    <w:rsid w:val="00DA1F6E"/>
    <w:rsid w:val="00DA2079"/>
    <w:rsid w:val="00DA33F9"/>
    <w:rsid w:val="00DB6484"/>
    <w:rsid w:val="00DC04AE"/>
    <w:rsid w:val="00DC6870"/>
    <w:rsid w:val="00DD218B"/>
    <w:rsid w:val="00DD39AB"/>
    <w:rsid w:val="00DD5AD3"/>
    <w:rsid w:val="00DE48A5"/>
    <w:rsid w:val="00DE4FEB"/>
    <w:rsid w:val="00DE7B20"/>
    <w:rsid w:val="00DF6B3C"/>
    <w:rsid w:val="00E034B8"/>
    <w:rsid w:val="00E07539"/>
    <w:rsid w:val="00E07E72"/>
    <w:rsid w:val="00E11911"/>
    <w:rsid w:val="00E1794E"/>
    <w:rsid w:val="00E21061"/>
    <w:rsid w:val="00E27360"/>
    <w:rsid w:val="00E37302"/>
    <w:rsid w:val="00E40598"/>
    <w:rsid w:val="00E4129B"/>
    <w:rsid w:val="00E41F46"/>
    <w:rsid w:val="00E475AE"/>
    <w:rsid w:val="00E51E79"/>
    <w:rsid w:val="00E626E2"/>
    <w:rsid w:val="00E64D5F"/>
    <w:rsid w:val="00E67F39"/>
    <w:rsid w:val="00E72CB9"/>
    <w:rsid w:val="00E75B45"/>
    <w:rsid w:val="00E762A9"/>
    <w:rsid w:val="00E86261"/>
    <w:rsid w:val="00E86853"/>
    <w:rsid w:val="00E90275"/>
    <w:rsid w:val="00E90670"/>
    <w:rsid w:val="00E91206"/>
    <w:rsid w:val="00E93CAA"/>
    <w:rsid w:val="00EA11D4"/>
    <w:rsid w:val="00EA122D"/>
    <w:rsid w:val="00EA3631"/>
    <w:rsid w:val="00EA45A6"/>
    <w:rsid w:val="00EB2BDA"/>
    <w:rsid w:val="00EB34F4"/>
    <w:rsid w:val="00EB4B9E"/>
    <w:rsid w:val="00EC61B0"/>
    <w:rsid w:val="00EC6EA1"/>
    <w:rsid w:val="00ED1831"/>
    <w:rsid w:val="00ED1CF4"/>
    <w:rsid w:val="00ED2579"/>
    <w:rsid w:val="00ED32C8"/>
    <w:rsid w:val="00ED5233"/>
    <w:rsid w:val="00ED60B3"/>
    <w:rsid w:val="00EE175F"/>
    <w:rsid w:val="00EE1787"/>
    <w:rsid w:val="00EE1F8B"/>
    <w:rsid w:val="00EF15CD"/>
    <w:rsid w:val="00EF529C"/>
    <w:rsid w:val="00EF6127"/>
    <w:rsid w:val="00F01B73"/>
    <w:rsid w:val="00F03062"/>
    <w:rsid w:val="00F06AC7"/>
    <w:rsid w:val="00F138CC"/>
    <w:rsid w:val="00F17B44"/>
    <w:rsid w:val="00F2344E"/>
    <w:rsid w:val="00F24B2C"/>
    <w:rsid w:val="00F24D7E"/>
    <w:rsid w:val="00F3095B"/>
    <w:rsid w:val="00F31343"/>
    <w:rsid w:val="00F32128"/>
    <w:rsid w:val="00F32EDD"/>
    <w:rsid w:val="00F36569"/>
    <w:rsid w:val="00F401C3"/>
    <w:rsid w:val="00F421BC"/>
    <w:rsid w:val="00F60C54"/>
    <w:rsid w:val="00F6289D"/>
    <w:rsid w:val="00F64D1C"/>
    <w:rsid w:val="00F6771C"/>
    <w:rsid w:val="00F8128D"/>
    <w:rsid w:val="00F841A7"/>
    <w:rsid w:val="00F846D7"/>
    <w:rsid w:val="00F9394E"/>
    <w:rsid w:val="00FA0965"/>
    <w:rsid w:val="00FB107C"/>
    <w:rsid w:val="00FB1429"/>
    <w:rsid w:val="00FB1765"/>
    <w:rsid w:val="00FB79F4"/>
    <w:rsid w:val="00FC05E7"/>
    <w:rsid w:val="00FC0E58"/>
    <w:rsid w:val="00FC215A"/>
    <w:rsid w:val="00FC2E2C"/>
    <w:rsid w:val="00FC679E"/>
    <w:rsid w:val="00FD103A"/>
    <w:rsid w:val="00FD29CF"/>
    <w:rsid w:val="00FD5C18"/>
    <w:rsid w:val="00FD78CA"/>
    <w:rsid w:val="00FF1891"/>
    <w:rsid w:val="00FF1E80"/>
    <w:rsid w:val="00FF35F2"/>
    <w:rsid w:val="00FF55F7"/>
    <w:rsid w:val="00FF79A2"/>
    <w:rsid w:val="0B140FFE"/>
    <w:rsid w:val="0FE642E0"/>
    <w:rsid w:val="118F0311"/>
    <w:rsid w:val="21475BA0"/>
    <w:rsid w:val="28177609"/>
    <w:rsid w:val="2895052E"/>
    <w:rsid w:val="43DB4DF7"/>
    <w:rsid w:val="544876E7"/>
    <w:rsid w:val="618620A5"/>
    <w:rsid w:val="673E3563"/>
    <w:rsid w:val="6B5F367B"/>
    <w:rsid w:val="70BC3E77"/>
    <w:rsid w:val="71D60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link w:val="18"/>
    <w:qFormat/>
    <w:uiPriority w:val="0"/>
    <w:pPr>
      <w:jc w:val="left"/>
    </w:pPr>
  </w:style>
  <w:style w:type="paragraph" w:styleId="4">
    <w:name w:val="Body Text Indent"/>
    <w:basedOn w:val="1"/>
    <w:qFormat/>
    <w:uiPriority w:val="0"/>
    <w:pPr>
      <w:ind w:firstLine="420"/>
    </w:pPr>
    <w:rPr>
      <w:sz w:val="28"/>
      <w:szCs w:val="28"/>
    </w:rPr>
  </w:style>
  <w:style w:type="paragraph" w:styleId="5">
    <w:name w:val="Body Text Indent 2"/>
    <w:basedOn w:val="1"/>
    <w:link w:val="19"/>
    <w:qFormat/>
    <w:uiPriority w:val="0"/>
    <w:pPr>
      <w:ind w:firstLine="560" w:firstLineChars="200"/>
    </w:pPr>
    <w:rPr>
      <w:sz w:val="28"/>
    </w:rPr>
  </w:style>
  <w:style w:type="paragraph" w:styleId="6">
    <w:name w:val="Balloon Text"/>
    <w:basedOn w:val="1"/>
    <w:link w:val="20"/>
    <w:qFormat/>
    <w:uiPriority w:val="0"/>
    <w:rPr>
      <w:sz w:val="18"/>
      <w:szCs w:val="18"/>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560" w:lineRule="exact"/>
      <w:ind w:firstLine="562" w:firstLineChars="200"/>
    </w:pPr>
    <w:rPr>
      <w:b/>
      <w:bCs/>
      <w:sz w:val="2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3"/>
    <w:next w:val="3"/>
    <w:link w:val="22"/>
    <w:qFormat/>
    <w:uiPriority w:val="0"/>
    <w:rPr>
      <w:b/>
      <w:bCs/>
    </w:rPr>
  </w:style>
  <w:style w:type="character" w:styleId="14">
    <w:name w:val="page number"/>
    <w:basedOn w:val="13"/>
    <w:qFormat/>
    <w:uiPriority w:val="0"/>
  </w:style>
  <w:style w:type="character" w:styleId="15">
    <w:name w:val="FollowedHyperlink"/>
    <w:qFormat/>
    <w:uiPriority w:val="0"/>
    <w:rPr>
      <w:color w:val="800080"/>
      <w:u w:val="single"/>
    </w:rPr>
  </w:style>
  <w:style w:type="character" w:styleId="16">
    <w:name w:val="Hyperlink"/>
    <w:qFormat/>
    <w:uiPriority w:val="0"/>
    <w:rPr>
      <w:color w:val="0000FF"/>
      <w:u w:val="single"/>
    </w:rPr>
  </w:style>
  <w:style w:type="character" w:styleId="17">
    <w:name w:val="annotation reference"/>
    <w:qFormat/>
    <w:uiPriority w:val="0"/>
    <w:rPr>
      <w:sz w:val="21"/>
      <w:szCs w:val="21"/>
    </w:rPr>
  </w:style>
  <w:style w:type="character" w:customStyle="1" w:styleId="18">
    <w:name w:val="批注文字 Char"/>
    <w:link w:val="3"/>
    <w:qFormat/>
    <w:uiPriority w:val="0"/>
    <w:rPr>
      <w:kern w:val="2"/>
      <w:sz w:val="21"/>
      <w:szCs w:val="24"/>
    </w:rPr>
  </w:style>
  <w:style w:type="character" w:customStyle="1" w:styleId="19">
    <w:name w:val="正文文本缩进 2 Char"/>
    <w:link w:val="5"/>
    <w:qFormat/>
    <w:uiPriority w:val="0"/>
    <w:rPr>
      <w:kern w:val="2"/>
      <w:sz w:val="28"/>
      <w:szCs w:val="24"/>
    </w:rPr>
  </w:style>
  <w:style w:type="character" w:customStyle="1" w:styleId="20">
    <w:name w:val="批注框文本 Char"/>
    <w:link w:val="6"/>
    <w:qFormat/>
    <w:uiPriority w:val="0"/>
    <w:rPr>
      <w:kern w:val="2"/>
      <w:sz w:val="18"/>
      <w:szCs w:val="18"/>
    </w:rPr>
  </w:style>
  <w:style w:type="character" w:customStyle="1" w:styleId="21">
    <w:name w:val="页脚 Char"/>
    <w:link w:val="7"/>
    <w:qFormat/>
    <w:uiPriority w:val="99"/>
    <w:rPr>
      <w:kern w:val="2"/>
      <w:sz w:val="18"/>
      <w:szCs w:val="18"/>
    </w:rPr>
  </w:style>
  <w:style w:type="character" w:customStyle="1" w:styleId="22">
    <w:name w:val="批注主题 Char"/>
    <w:link w:val="11"/>
    <w:qFormat/>
    <w:uiPriority w:val="0"/>
    <w:rPr>
      <w:b/>
      <w:bCs/>
      <w:kern w:val="2"/>
      <w:sz w:val="21"/>
      <w:szCs w:val="24"/>
    </w:rPr>
  </w:style>
  <w:style w:type="character" w:customStyle="1" w:styleId="23">
    <w:name w:val="da"/>
    <w:basedOn w:val="13"/>
    <w:qFormat/>
    <w:uiPriority w:val="0"/>
  </w:style>
  <w:style w:type="paragraph" w:customStyle="1" w:styleId="24">
    <w:name w:val="Char Char1 Char"/>
    <w:basedOn w:val="1"/>
    <w:qFormat/>
    <w:uiPriority w:val="0"/>
    <w:pPr>
      <w:tabs>
        <w:tab w:val="left" w:pos="360"/>
      </w:tabs>
    </w:pPr>
    <w:rPr>
      <w:sz w:val="24"/>
    </w:rPr>
  </w:style>
  <w:style w:type="paragraph" w:customStyle="1" w:styleId="25">
    <w:name w:val="Char Char1 Char1"/>
    <w:basedOn w:val="1"/>
    <w:qFormat/>
    <w:uiPriority w:val="0"/>
    <w:pPr>
      <w:tabs>
        <w:tab w:val="left" w:pos="360"/>
      </w:tabs>
    </w:pPr>
    <w:rPr>
      <w:sz w:val="24"/>
    </w:rPr>
  </w:style>
  <w:style w:type="paragraph" w:customStyle="1" w:styleId="2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7">
    <w:name w:val="CM3"/>
    <w:basedOn w:val="26"/>
    <w:next w:val="26"/>
    <w:qFormat/>
    <w:uiPriority w:val="0"/>
    <w:pPr>
      <w:spacing w:after="153"/>
    </w:pPr>
    <w:rPr>
      <w:rFonts w:cs="Times New Roman"/>
      <w:color w:val="auto"/>
    </w:rPr>
  </w:style>
  <w:style w:type="paragraph" w:customStyle="1" w:styleId="28">
    <w:name w:val="CM15"/>
    <w:basedOn w:val="26"/>
    <w:next w:val="26"/>
    <w:qFormat/>
    <w:uiPriority w:val="0"/>
    <w:pPr>
      <w:spacing w:after="400"/>
    </w:pPr>
    <w:rPr>
      <w:rFonts w:cs="Times New Roman"/>
      <w:color w:val="auto"/>
    </w:rPr>
  </w:style>
  <w:style w:type="paragraph" w:customStyle="1" w:styleId="29">
    <w:name w:val="CM10"/>
    <w:basedOn w:val="26"/>
    <w:next w:val="26"/>
    <w:qFormat/>
    <w:uiPriority w:val="0"/>
    <w:pPr>
      <w:spacing w:line="400" w:lineRule="atLeast"/>
    </w:pPr>
    <w:rPr>
      <w:rFonts w:cs="Times New Roman"/>
      <w:color w:val="auto"/>
    </w:rPr>
  </w:style>
  <w:style w:type="paragraph" w:customStyle="1" w:styleId="30">
    <w:name w:val="Char Char Char1 Char"/>
    <w:basedOn w:val="2"/>
    <w:semiHidden/>
    <w:qFormat/>
    <w:uiPriority w:val="0"/>
    <w:rPr>
      <w:rFonts w:ascii="Tahoma" w:hAnsi="Tahoma" w:cs="Tahoma"/>
      <w:kern w:val="0"/>
      <w:sz w:val="18"/>
    </w:rPr>
  </w:style>
  <w:style w:type="character" w:customStyle="1" w:styleId="31">
    <w:name w:val="apple-style-span"/>
    <w:basedOn w:val="13"/>
    <w:qFormat/>
    <w:uiPriority w:val="0"/>
  </w:style>
  <w:style w:type="paragraph" w:styleId="3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feiya</Company>
  <Pages>7</Pages>
  <Words>4105</Words>
  <Characters>5419</Characters>
  <Lines>13</Lines>
  <Paragraphs>11</Paragraphs>
  <TotalTime>49</TotalTime>
  <ScaleCrop>false</ScaleCrop>
  <LinksUpToDate>false</LinksUpToDate>
  <CharactersWithSpaces>5631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2024-05-24T07:56:00Z</dcterms:created>
  <dc:creator>dingmin</dc:creator>
  <cp:lastModifiedBy>WSY</cp:lastModifiedBy>
  <cp:lastPrinted>2020-06-23T08:38:00Z</cp:lastPrinted>
  <dcterms:modified xsi:type="dcterms:W3CDTF">2024-05-24T10:11:41Z</dcterms:modified>
  <dc:title>证券代码：002042   证券简称：飞亚股份   公告编号：飞亚公告[2006]012号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07949A5650594E7A984CA0E05638B7FC_13</vt:lpwstr>
  </property>
</Properties>
</file>